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620" w:firstRow="1" w:lastRow="0" w:firstColumn="0" w:lastColumn="0" w:noHBand="1" w:noVBand="1"/>
        <w:tblDescription w:val="Layout table"/>
      </w:tblPr>
      <w:tblGrid>
        <w:gridCol w:w="1985"/>
        <w:gridCol w:w="6859"/>
        <w:gridCol w:w="1474"/>
      </w:tblGrid>
      <w:tr w:rsidR="00FC269D" w14:paraId="64820C0C" w14:textId="77777777" w:rsidTr="001E0D98">
        <w:tc>
          <w:tcPr>
            <w:tcW w:w="1985" w:type="dxa"/>
            <w:vAlign w:val="bottom"/>
          </w:tcPr>
          <w:p w14:paraId="60DAAA43" w14:textId="08A91760" w:rsidR="006B7935" w:rsidRPr="00FC269D" w:rsidRDefault="006B7935" w:rsidP="002A1CF5">
            <w:pPr>
              <w:spacing w:line="216" w:lineRule="auto"/>
              <w:rPr>
                <w:sz w:val="17"/>
                <w:szCs w:val="17"/>
              </w:rPr>
            </w:pPr>
            <w:r w:rsidRPr="00FC269D">
              <w:rPr>
                <w:sz w:val="17"/>
                <w:szCs w:val="17"/>
              </w:rPr>
              <w:t xml:space="preserve">Supporting people </w:t>
            </w:r>
            <w:r w:rsidR="00FC269D">
              <w:rPr>
                <w:sz w:val="17"/>
                <w:szCs w:val="17"/>
              </w:rPr>
              <w:br/>
            </w:r>
            <w:r w:rsidRPr="002A1CF5">
              <w:rPr>
                <w:rFonts w:asciiTheme="majorHAnsi" w:hAnsiTheme="majorHAnsi"/>
                <w:sz w:val="17"/>
                <w:szCs w:val="17"/>
              </w:rPr>
              <w:t>every day</w:t>
            </w:r>
          </w:p>
        </w:tc>
        <w:tc>
          <w:tcPr>
            <w:tcW w:w="6859" w:type="dxa"/>
            <w:vAlign w:val="bottom"/>
          </w:tcPr>
          <w:p w14:paraId="3FC2BB62" w14:textId="6D9A2ED4" w:rsidR="006B7935" w:rsidRDefault="00FC269D" w:rsidP="00FC269D">
            <w:pPr>
              <w:jc w:val="center"/>
            </w:pPr>
            <w:r>
              <w:rPr>
                <w:noProof/>
              </w:rPr>
              <w:drawing>
                <wp:inline distT="0" distB="0" distL="0" distR="0" wp14:anchorId="4F037586" wp14:editId="46E8E403">
                  <wp:extent cx="4324350" cy="533524"/>
                  <wp:effectExtent l="0" t="0" r="0" b="0"/>
                  <wp:docPr id="57" name="Graphic 57" descr="Avivo Annu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Graphic 57" descr="Avivo Annual Logo"/>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364942" cy="538532"/>
                          </a:xfrm>
                          <a:prstGeom prst="rect">
                            <a:avLst/>
                          </a:prstGeom>
                        </pic:spPr>
                      </pic:pic>
                    </a:graphicData>
                  </a:graphic>
                </wp:inline>
              </w:drawing>
            </w:r>
          </w:p>
        </w:tc>
        <w:tc>
          <w:tcPr>
            <w:tcW w:w="1474" w:type="dxa"/>
            <w:vAlign w:val="bottom"/>
          </w:tcPr>
          <w:p w14:paraId="2C9B7FC9" w14:textId="0FD3416E" w:rsidR="006B7935" w:rsidRPr="00FC269D" w:rsidRDefault="006B7935" w:rsidP="002A1CF5">
            <w:pPr>
              <w:spacing w:line="216" w:lineRule="auto"/>
              <w:jc w:val="right"/>
              <w:rPr>
                <w:sz w:val="17"/>
                <w:szCs w:val="17"/>
              </w:rPr>
            </w:pPr>
            <w:r w:rsidRPr="00FC269D">
              <w:rPr>
                <w:sz w:val="17"/>
                <w:szCs w:val="17"/>
              </w:rPr>
              <w:t>avivo.org.au</w:t>
            </w:r>
            <w:r w:rsidR="00FC269D">
              <w:rPr>
                <w:sz w:val="17"/>
                <w:szCs w:val="17"/>
              </w:rPr>
              <w:br/>
            </w:r>
            <w:r w:rsidRPr="002A1CF5">
              <w:rPr>
                <w:rFonts w:asciiTheme="majorHAnsi" w:hAnsiTheme="majorHAnsi"/>
                <w:sz w:val="17"/>
                <w:szCs w:val="17"/>
              </w:rPr>
              <w:t>1300 428 486</w:t>
            </w:r>
          </w:p>
        </w:tc>
      </w:tr>
    </w:tbl>
    <w:p w14:paraId="3C7C71AE" w14:textId="6FBAF772" w:rsidR="000129BA" w:rsidRPr="00FC269D" w:rsidRDefault="00A27CCB" w:rsidP="00EA5C32">
      <w:pPr>
        <w:pStyle w:val="Title"/>
        <w:spacing w:after="720"/>
        <w:rPr>
          <w:szCs w:val="17"/>
        </w:rPr>
      </w:pPr>
      <w:sdt>
        <w:sdtPr>
          <w:rPr>
            <w:szCs w:val="17"/>
          </w:rPr>
          <w:alias w:val="Title"/>
          <w:tag w:val=""/>
          <w:id w:val="1408042455"/>
          <w:placeholder>
            <w:docPart w:val="8C95ADB87B3543FFA6A7EDCB73A9A2D3"/>
          </w:placeholder>
          <w:dataBinding w:prefixMappings="xmlns:ns0='http://purl.org/dc/elements/1.1/' xmlns:ns1='http://schemas.openxmlformats.org/package/2006/metadata/core-properties' " w:xpath="/ns1:coreProperties[1]/ns0:title[1]" w:storeItemID="{6C3C8BC8-F283-45AE-878A-BAB7291924A1}"/>
          <w:text/>
        </w:sdtPr>
        <w:sdtEndPr/>
        <w:sdtContent>
          <w:r w:rsidR="00633066" w:rsidRPr="00FC269D">
            <w:rPr>
              <w:szCs w:val="17"/>
            </w:rPr>
            <w:t>Annual Report 202</w:t>
          </w:r>
          <w:r w:rsidR="00FC269D">
            <w:rPr>
              <w:szCs w:val="17"/>
            </w:rPr>
            <w:t>1</w:t>
          </w:r>
        </w:sdtContent>
      </w:sdt>
    </w:p>
    <w:p w14:paraId="322E60EC" w14:textId="77777777" w:rsidR="00EA5C32" w:rsidRPr="001E0D98" w:rsidRDefault="00EA5C32" w:rsidP="00EA5C32">
      <w:pPr>
        <w:pStyle w:val="BodyText"/>
        <w:rPr>
          <w:color w:val="231F20" w:themeColor="text2"/>
        </w:rPr>
      </w:pPr>
      <w:r>
        <w:rPr>
          <w:noProof/>
        </w:rPr>
        <w:drawing>
          <wp:inline distT="0" distB="0" distL="0" distR="0" wp14:anchorId="384911BB" wp14:editId="6639FE29">
            <wp:extent cx="6552000" cy="4342812"/>
            <wp:effectExtent l="0" t="0" r="1270" b="635"/>
            <wp:docPr id="60" name="Picture 60" descr="Infographic. We are resilient, intuitive, flexible, friendly, optimistic, brave and cre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Infographic. We are resilient, intuitive, flexible, friendly, optimistic, brave and creative"/>
                    <pic:cNvPicPr/>
                  </pic:nvPicPr>
                  <pic:blipFill>
                    <a:blip r:embed="rId11">
                      <a:extLst>
                        <a:ext uri="{28A0092B-C50C-407E-A947-70E740481C1C}">
                          <a14:useLocalDpi xmlns:a14="http://schemas.microsoft.com/office/drawing/2010/main" val="0"/>
                        </a:ext>
                      </a:extLst>
                    </a:blip>
                    <a:stretch>
                      <a:fillRect/>
                    </a:stretch>
                  </pic:blipFill>
                  <pic:spPr>
                    <a:xfrm>
                      <a:off x="0" y="0"/>
                      <a:ext cx="6552000" cy="4342812"/>
                    </a:xfrm>
                    <a:prstGeom prst="rect">
                      <a:avLst/>
                    </a:prstGeom>
                  </pic:spPr>
                </pic:pic>
              </a:graphicData>
            </a:graphic>
          </wp:inline>
        </w:drawing>
      </w:r>
    </w:p>
    <w:p w14:paraId="1B7F29EB" w14:textId="77777777" w:rsidR="00EA5C32" w:rsidRDefault="00EA5C32">
      <w:pPr>
        <w:spacing w:after="160" w:line="259" w:lineRule="auto"/>
      </w:pPr>
      <w:r>
        <w:rPr>
          <w:b/>
        </w:rPr>
        <w:br w:type="page"/>
      </w:r>
    </w:p>
    <w:sdt>
      <w:sdtPr>
        <w:rPr>
          <w:b w:val="0"/>
          <w:sz w:val="24"/>
        </w:rPr>
        <w:id w:val="-1865052846"/>
        <w:docPartObj>
          <w:docPartGallery w:val="Table of Contents"/>
          <w:docPartUnique/>
        </w:docPartObj>
      </w:sdtPr>
      <w:sdtEndPr>
        <w:rPr>
          <w:bCs/>
          <w:noProof/>
        </w:rPr>
      </w:sdtEndPr>
      <w:sdtContent>
        <w:p w14:paraId="55C43297" w14:textId="167EDA08" w:rsidR="001E0D98" w:rsidRDefault="001E0D98" w:rsidP="001E0D98">
          <w:pPr>
            <w:pStyle w:val="TOCHeading"/>
          </w:pPr>
          <w:r>
            <w:t>Contents</w:t>
          </w:r>
        </w:p>
        <w:p w14:paraId="3C35FA27" w14:textId="3938ABA3" w:rsidR="00A27CCB" w:rsidRDefault="001E0D98">
          <w:pPr>
            <w:pStyle w:val="TOC1"/>
            <w:rPr>
              <w:rFonts w:eastAsiaTheme="minorEastAsia"/>
              <w:b w:val="0"/>
              <w:sz w:val="22"/>
              <w:lang w:eastAsia="en-AU"/>
            </w:rPr>
          </w:pPr>
          <w:r>
            <w:rPr>
              <w:b w:val="0"/>
              <w:sz w:val="28"/>
            </w:rPr>
            <w:fldChar w:fldCharType="begin"/>
          </w:r>
          <w:r>
            <w:rPr>
              <w:b w:val="0"/>
              <w:sz w:val="28"/>
            </w:rPr>
            <w:instrText xml:space="preserve"> TOC \o "1-2" \h \z \u </w:instrText>
          </w:r>
          <w:r>
            <w:rPr>
              <w:b w:val="0"/>
              <w:sz w:val="28"/>
            </w:rPr>
            <w:fldChar w:fldCharType="separate"/>
          </w:r>
          <w:hyperlink w:anchor="_Toc87270054" w:history="1">
            <w:r w:rsidR="00A27CCB" w:rsidRPr="00DC6B57">
              <w:rPr>
                <w:rStyle w:val="Hyperlink"/>
              </w:rPr>
              <w:t>Who are we, at our best?</w:t>
            </w:r>
            <w:r w:rsidR="00A27CCB">
              <w:rPr>
                <w:webHidden/>
              </w:rPr>
              <w:tab/>
            </w:r>
            <w:r w:rsidR="00A27CCB">
              <w:rPr>
                <w:webHidden/>
              </w:rPr>
              <w:fldChar w:fldCharType="begin"/>
            </w:r>
            <w:r w:rsidR="00A27CCB">
              <w:rPr>
                <w:webHidden/>
              </w:rPr>
              <w:instrText xml:space="preserve"> PAGEREF _Toc87270054 \h </w:instrText>
            </w:r>
            <w:r w:rsidR="00A27CCB">
              <w:rPr>
                <w:webHidden/>
              </w:rPr>
            </w:r>
            <w:r w:rsidR="00A27CCB">
              <w:rPr>
                <w:webHidden/>
              </w:rPr>
              <w:fldChar w:fldCharType="separate"/>
            </w:r>
            <w:r w:rsidR="00A27CCB">
              <w:rPr>
                <w:webHidden/>
              </w:rPr>
              <w:t>3</w:t>
            </w:r>
            <w:r w:rsidR="00A27CCB">
              <w:rPr>
                <w:webHidden/>
              </w:rPr>
              <w:fldChar w:fldCharType="end"/>
            </w:r>
          </w:hyperlink>
        </w:p>
        <w:p w14:paraId="7DCA7C83" w14:textId="2F0E727E" w:rsidR="00A27CCB" w:rsidRDefault="00A27CCB">
          <w:pPr>
            <w:pStyle w:val="TOC1"/>
            <w:rPr>
              <w:rFonts w:eastAsiaTheme="minorEastAsia"/>
              <w:b w:val="0"/>
              <w:sz w:val="22"/>
              <w:lang w:eastAsia="en-AU"/>
            </w:rPr>
          </w:pPr>
          <w:hyperlink w:anchor="_Toc87270055" w:history="1">
            <w:r w:rsidRPr="00DC6B57">
              <w:rPr>
                <w:rStyle w:val="Hyperlink"/>
              </w:rPr>
              <w:t>Rising to every challenge we face</w:t>
            </w:r>
            <w:r>
              <w:rPr>
                <w:webHidden/>
              </w:rPr>
              <w:tab/>
            </w:r>
            <w:r>
              <w:rPr>
                <w:webHidden/>
              </w:rPr>
              <w:fldChar w:fldCharType="begin"/>
            </w:r>
            <w:r>
              <w:rPr>
                <w:webHidden/>
              </w:rPr>
              <w:instrText xml:space="preserve"> PAGEREF _Toc87270055 \h </w:instrText>
            </w:r>
            <w:r>
              <w:rPr>
                <w:webHidden/>
              </w:rPr>
            </w:r>
            <w:r>
              <w:rPr>
                <w:webHidden/>
              </w:rPr>
              <w:fldChar w:fldCharType="separate"/>
            </w:r>
            <w:r>
              <w:rPr>
                <w:webHidden/>
              </w:rPr>
              <w:t>4</w:t>
            </w:r>
            <w:r>
              <w:rPr>
                <w:webHidden/>
              </w:rPr>
              <w:fldChar w:fldCharType="end"/>
            </w:r>
          </w:hyperlink>
        </w:p>
        <w:p w14:paraId="5C179F54" w14:textId="08980106" w:rsidR="00A27CCB" w:rsidRDefault="00A27CCB">
          <w:pPr>
            <w:pStyle w:val="TOC2"/>
            <w:rPr>
              <w:rFonts w:eastAsiaTheme="minorEastAsia"/>
              <w:sz w:val="22"/>
              <w:lang w:eastAsia="en-AU"/>
            </w:rPr>
          </w:pPr>
          <w:hyperlink w:anchor="_Toc87270056" w:history="1">
            <w:r w:rsidRPr="00DC6B57">
              <w:rPr>
                <w:rStyle w:val="Hyperlink"/>
              </w:rPr>
              <w:t>Resilient</w:t>
            </w:r>
            <w:r>
              <w:rPr>
                <w:webHidden/>
              </w:rPr>
              <w:tab/>
            </w:r>
            <w:r>
              <w:rPr>
                <w:webHidden/>
              </w:rPr>
              <w:fldChar w:fldCharType="begin"/>
            </w:r>
            <w:r>
              <w:rPr>
                <w:webHidden/>
              </w:rPr>
              <w:instrText xml:space="preserve"> PAGEREF _Toc87270056 \h </w:instrText>
            </w:r>
            <w:r>
              <w:rPr>
                <w:webHidden/>
              </w:rPr>
            </w:r>
            <w:r>
              <w:rPr>
                <w:webHidden/>
              </w:rPr>
              <w:fldChar w:fldCharType="separate"/>
            </w:r>
            <w:r>
              <w:rPr>
                <w:webHidden/>
              </w:rPr>
              <w:t>5</w:t>
            </w:r>
            <w:r>
              <w:rPr>
                <w:webHidden/>
              </w:rPr>
              <w:fldChar w:fldCharType="end"/>
            </w:r>
          </w:hyperlink>
        </w:p>
        <w:p w14:paraId="11484F88" w14:textId="5F5B4A17" w:rsidR="00A27CCB" w:rsidRDefault="00A27CCB">
          <w:pPr>
            <w:pStyle w:val="TOC1"/>
            <w:rPr>
              <w:rFonts w:eastAsiaTheme="minorEastAsia"/>
              <w:b w:val="0"/>
              <w:sz w:val="22"/>
              <w:lang w:eastAsia="en-AU"/>
            </w:rPr>
          </w:pPr>
          <w:hyperlink w:anchor="_Toc87270057" w:history="1">
            <w:r w:rsidRPr="00DC6B57">
              <w:rPr>
                <w:rStyle w:val="Hyperlink"/>
              </w:rPr>
              <w:t>Trust in the journey reaps reward</w:t>
            </w:r>
            <w:r>
              <w:rPr>
                <w:webHidden/>
              </w:rPr>
              <w:tab/>
            </w:r>
            <w:r>
              <w:rPr>
                <w:webHidden/>
              </w:rPr>
              <w:fldChar w:fldCharType="begin"/>
            </w:r>
            <w:r>
              <w:rPr>
                <w:webHidden/>
              </w:rPr>
              <w:instrText xml:space="preserve"> PAGEREF _Toc87270057 \h </w:instrText>
            </w:r>
            <w:r>
              <w:rPr>
                <w:webHidden/>
              </w:rPr>
            </w:r>
            <w:r>
              <w:rPr>
                <w:webHidden/>
              </w:rPr>
              <w:fldChar w:fldCharType="separate"/>
            </w:r>
            <w:r>
              <w:rPr>
                <w:webHidden/>
              </w:rPr>
              <w:t>6</w:t>
            </w:r>
            <w:r>
              <w:rPr>
                <w:webHidden/>
              </w:rPr>
              <w:fldChar w:fldCharType="end"/>
            </w:r>
          </w:hyperlink>
        </w:p>
        <w:p w14:paraId="1E1FCB1B" w14:textId="4848A9A0" w:rsidR="00A27CCB" w:rsidRDefault="00A27CCB">
          <w:pPr>
            <w:pStyle w:val="TOC2"/>
            <w:rPr>
              <w:rFonts w:eastAsiaTheme="minorEastAsia"/>
              <w:sz w:val="22"/>
              <w:lang w:eastAsia="en-AU"/>
            </w:rPr>
          </w:pPr>
          <w:hyperlink w:anchor="_Toc87270058" w:history="1">
            <w:r w:rsidRPr="00DC6B57">
              <w:rPr>
                <w:rStyle w:val="Hyperlink"/>
              </w:rPr>
              <w:t>Optimistic</w:t>
            </w:r>
            <w:r>
              <w:rPr>
                <w:webHidden/>
              </w:rPr>
              <w:tab/>
            </w:r>
            <w:r>
              <w:rPr>
                <w:webHidden/>
              </w:rPr>
              <w:fldChar w:fldCharType="begin"/>
            </w:r>
            <w:r>
              <w:rPr>
                <w:webHidden/>
              </w:rPr>
              <w:instrText xml:space="preserve"> PAGEREF _Toc87270058 \h </w:instrText>
            </w:r>
            <w:r>
              <w:rPr>
                <w:webHidden/>
              </w:rPr>
            </w:r>
            <w:r>
              <w:rPr>
                <w:webHidden/>
              </w:rPr>
              <w:fldChar w:fldCharType="separate"/>
            </w:r>
            <w:r>
              <w:rPr>
                <w:webHidden/>
              </w:rPr>
              <w:t>8</w:t>
            </w:r>
            <w:r>
              <w:rPr>
                <w:webHidden/>
              </w:rPr>
              <w:fldChar w:fldCharType="end"/>
            </w:r>
          </w:hyperlink>
        </w:p>
        <w:p w14:paraId="44BF9536" w14:textId="3F3CD863" w:rsidR="00A27CCB" w:rsidRDefault="00A27CCB">
          <w:pPr>
            <w:pStyle w:val="TOC2"/>
            <w:rPr>
              <w:rFonts w:eastAsiaTheme="minorEastAsia"/>
              <w:sz w:val="22"/>
              <w:lang w:eastAsia="en-AU"/>
            </w:rPr>
          </w:pPr>
          <w:hyperlink w:anchor="_Toc87270059" w:history="1">
            <w:r w:rsidRPr="00DC6B57">
              <w:rPr>
                <w:rStyle w:val="Hyperlink"/>
              </w:rPr>
              <w:t>Creative</w:t>
            </w:r>
            <w:r>
              <w:rPr>
                <w:webHidden/>
              </w:rPr>
              <w:tab/>
            </w:r>
            <w:r>
              <w:rPr>
                <w:webHidden/>
              </w:rPr>
              <w:fldChar w:fldCharType="begin"/>
            </w:r>
            <w:r>
              <w:rPr>
                <w:webHidden/>
              </w:rPr>
              <w:instrText xml:space="preserve"> PAGEREF _Toc87270059 \h </w:instrText>
            </w:r>
            <w:r>
              <w:rPr>
                <w:webHidden/>
              </w:rPr>
            </w:r>
            <w:r>
              <w:rPr>
                <w:webHidden/>
              </w:rPr>
              <w:fldChar w:fldCharType="separate"/>
            </w:r>
            <w:r>
              <w:rPr>
                <w:webHidden/>
              </w:rPr>
              <w:t>9</w:t>
            </w:r>
            <w:r>
              <w:rPr>
                <w:webHidden/>
              </w:rPr>
              <w:fldChar w:fldCharType="end"/>
            </w:r>
          </w:hyperlink>
        </w:p>
        <w:p w14:paraId="04CC209F" w14:textId="55656AD4" w:rsidR="00A27CCB" w:rsidRDefault="00A27CCB">
          <w:pPr>
            <w:pStyle w:val="TOC1"/>
            <w:rPr>
              <w:rFonts w:eastAsiaTheme="minorEastAsia"/>
              <w:b w:val="0"/>
              <w:sz w:val="22"/>
              <w:lang w:eastAsia="en-AU"/>
            </w:rPr>
          </w:pPr>
          <w:hyperlink w:anchor="_Toc87270060" w:history="1">
            <w:r w:rsidRPr="00DC6B57">
              <w:rPr>
                <w:rStyle w:val="Hyperlink"/>
              </w:rPr>
              <w:t>Thinking outside the box</w:t>
            </w:r>
            <w:r>
              <w:rPr>
                <w:webHidden/>
              </w:rPr>
              <w:tab/>
            </w:r>
            <w:r>
              <w:rPr>
                <w:webHidden/>
              </w:rPr>
              <w:fldChar w:fldCharType="begin"/>
            </w:r>
            <w:r>
              <w:rPr>
                <w:webHidden/>
              </w:rPr>
              <w:instrText xml:space="preserve"> PAGEREF _Toc87270060 \h </w:instrText>
            </w:r>
            <w:r>
              <w:rPr>
                <w:webHidden/>
              </w:rPr>
            </w:r>
            <w:r>
              <w:rPr>
                <w:webHidden/>
              </w:rPr>
              <w:fldChar w:fldCharType="separate"/>
            </w:r>
            <w:r>
              <w:rPr>
                <w:webHidden/>
              </w:rPr>
              <w:t>9</w:t>
            </w:r>
            <w:r>
              <w:rPr>
                <w:webHidden/>
              </w:rPr>
              <w:fldChar w:fldCharType="end"/>
            </w:r>
          </w:hyperlink>
        </w:p>
        <w:p w14:paraId="260C2BBC" w14:textId="313A7811" w:rsidR="00A27CCB" w:rsidRDefault="00A27CCB">
          <w:pPr>
            <w:pStyle w:val="TOC1"/>
            <w:rPr>
              <w:rFonts w:eastAsiaTheme="minorEastAsia"/>
              <w:b w:val="0"/>
              <w:sz w:val="22"/>
              <w:lang w:eastAsia="en-AU"/>
            </w:rPr>
          </w:pPr>
          <w:hyperlink w:anchor="_Toc87270061" w:history="1">
            <w:r w:rsidRPr="00DC6B57">
              <w:rPr>
                <w:rStyle w:val="Hyperlink"/>
              </w:rPr>
              <w:t>How we're organised</w:t>
            </w:r>
            <w:r>
              <w:rPr>
                <w:webHidden/>
              </w:rPr>
              <w:tab/>
            </w:r>
            <w:r>
              <w:rPr>
                <w:webHidden/>
              </w:rPr>
              <w:fldChar w:fldCharType="begin"/>
            </w:r>
            <w:r>
              <w:rPr>
                <w:webHidden/>
              </w:rPr>
              <w:instrText xml:space="preserve"> PAGEREF _Toc87270061 \h </w:instrText>
            </w:r>
            <w:r>
              <w:rPr>
                <w:webHidden/>
              </w:rPr>
            </w:r>
            <w:r>
              <w:rPr>
                <w:webHidden/>
              </w:rPr>
              <w:fldChar w:fldCharType="separate"/>
            </w:r>
            <w:r>
              <w:rPr>
                <w:webHidden/>
              </w:rPr>
              <w:t>10</w:t>
            </w:r>
            <w:r>
              <w:rPr>
                <w:webHidden/>
              </w:rPr>
              <w:fldChar w:fldCharType="end"/>
            </w:r>
          </w:hyperlink>
        </w:p>
        <w:p w14:paraId="3BF69913" w14:textId="769BDD8B" w:rsidR="00A27CCB" w:rsidRDefault="00A27CCB">
          <w:pPr>
            <w:pStyle w:val="TOC2"/>
            <w:rPr>
              <w:rFonts w:eastAsiaTheme="minorEastAsia"/>
              <w:sz w:val="22"/>
              <w:lang w:eastAsia="en-AU"/>
            </w:rPr>
          </w:pPr>
          <w:hyperlink w:anchor="_Toc87270062" w:history="1">
            <w:r w:rsidRPr="00DC6B57">
              <w:rPr>
                <w:rStyle w:val="Hyperlink"/>
              </w:rPr>
              <w:t>Flexible</w:t>
            </w:r>
            <w:r>
              <w:rPr>
                <w:webHidden/>
              </w:rPr>
              <w:tab/>
            </w:r>
            <w:r>
              <w:rPr>
                <w:webHidden/>
              </w:rPr>
              <w:fldChar w:fldCharType="begin"/>
            </w:r>
            <w:r>
              <w:rPr>
                <w:webHidden/>
              </w:rPr>
              <w:instrText xml:space="preserve"> PAGEREF _Toc87270062 \h </w:instrText>
            </w:r>
            <w:r>
              <w:rPr>
                <w:webHidden/>
              </w:rPr>
            </w:r>
            <w:r>
              <w:rPr>
                <w:webHidden/>
              </w:rPr>
              <w:fldChar w:fldCharType="separate"/>
            </w:r>
            <w:r>
              <w:rPr>
                <w:webHidden/>
              </w:rPr>
              <w:t>11</w:t>
            </w:r>
            <w:r>
              <w:rPr>
                <w:webHidden/>
              </w:rPr>
              <w:fldChar w:fldCharType="end"/>
            </w:r>
          </w:hyperlink>
        </w:p>
        <w:p w14:paraId="7E5B3634" w14:textId="13519777" w:rsidR="00A27CCB" w:rsidRDefault="00A27CCB">
          <w:pPr>
            <w:pStyle w:val="TOC1"/>
            <w:rPr>
              <w:rFonts w:eastAsiaTheme="minorEastAsia"/>
              <w:b w:val="0"/>
              <w:sz w:val="22"/>
              <w:lang w:eastAsia="en-AU"/>
            </w:rPr>
          </w:pPr>
          <w:hyperlink w:anchor="_Toc87270063" w:history="1">
            <w:r w:rsidRPr="00DC6B57">
              <w:rPr>
                <w:rStyle w:val="Hyperlink"/>
              </w:rPr>
              <w:t>Agility during big change</w:t>
            </w:r>
            <w:r>
              <w:rPr>
                <w:webHidden/>
              </w:rPr>
              <w:tab/>
            </w:r>
            <w:r>
              <w:rPr>
                <w:webHidden/>
              </w:rPr>
              <w:fldChar w:fldCharType="begin"/>
            </w:r>
            <w:r>
              <w:rPr>
                <w:webHidden/>
              </w:rPr>
              <w:instrText xml:space="preserve"> PAGEREF _Toc87270063 \h </w:instrText>
            </w:r>
            <w:r>
              <w:rPr>
                <w:webHidden/>
              </w:rPr>
            </w:r>
            <w:r>
              <w:rPr>
                <w:webHidden/>
              </w:rPr>
              <w:fldChar w:fldCharType="separate"/>
            </w:r>
            <w:r>
              <w:rPr>
                <w:webHidden/>
              </w:rPr>
              <w:t>11</w:t>
            </w:r>
            <w:r>
              <w:rPr>
                <w:webHidden/>
              </w:rPr>
              <w:fldChar w:fldCharType="end"/>
            </w:r>
          </w:hyperlink>
        </w:p>
        <w:p w14:paraId="0C3B73F6" w14:textId="27A726C2" w:rsidR="00A27CCB" w:rsidRDefault="00A27CCB">
          <w:pPr>
            <w:pStyle w:val="TOC2"/>
            <w:rPr>
              <w:rFonts w:eastAsiaTheme="minorEastAsia"/>
              <w:sz w:val="22"/>
              <w:lang w:eastAsia="en-AU"/>
            </w:rPr>
          </w:pPr>
          <w:hyperlink w:anchor="_Toc87270064" w:history="1">
            <w:r w:rsidRPr="00DC6B57">
              <w:rPr>
                <w:rStyle w:val="Hyperlink"/>
              </w:rPr>
              <w:t>Brave</w:t>
            </w:r>
            <w:r>
              <w:rPr>
                <w:webHidden/>
              </w:rPr>
              <w:tab/>
            </w:r>
            <w:r>
              <w:rPr>
                <w:webHidden/>
              </w:rPr>
              <w:fldChar w:fldCharType="begin"/>
            </w:r>
            <w:r>
              <w:rPr>
                <w:webHidden/>
              </w:rPr>
              <w:instrText xml:space="preserve"> PAGEREF _Toc87270064 \h </w:instrText>
            </w:r>
            <w:r>
              <w:rPr>
                <w:webHidden/>
              </w:rPr>
            </w:r>
            <w:r>
              <w:rPr>
                <w:webHidden/>
              </w:rPr>
              <w:fldChar w:fldCharType="separate"/>
            </w:r>
            <w:r>
              <w:rPr>
                <w:webHidden/>
              </w:rPr>
              <w:t>13</w:t>
            </w:r>
            <w:r>
              <w:rPr>
                <w:webHidden/>
              </w:rPr>
              <w:fldChar w:fldCharType="end"/>
            </w:r>
          </w:hyperlink>
        </w:p>
        <w:p w14:paraId="5FDC5CA3" w14:textId="0F4F253D" w:rsidR="00A27CCB" w:rsidRDefault="00A27CCB">
          <w:pPr>
            <w:pStyle w:val="TOC1"/>
            <w:rPr>
              <w:rFonts w:eastAsiaTheme="minorEastAsia"/>
              <w:b w:val="0"/>
              <w:sz w:val="22"/>
              <w:lang w:eastAsia="en-AU"/>
            </w:rPr>
          </w:pPr>
          <w:hyperlink w:anchor="_Toc87270065" w:history="1">
            <w:r w:rsidRPr="00DC6B57">
              <w:rPr>
                <w:rStyle w:val="Hyperlink"/>
              </w:rPr>
              <w:t>Courage to do new things</w:t>
            </w:r>
            <w:r>
              <w:rPr>
                <w:webHidden/>
              </w:rPr>
              <w:tab/>
            </w:r>
            <w:r>
              <w:rPr>
                <w:webHidden/>
              </w:rPr>
              <w:fldChar w:fldCharType="begin"/>
            </w:r>
            <w:r>
              <w:rPr>
                <w:webHidden/>
              </w:rPr>
              <w:instrText xml:space="preserve"> PAGEREF _Toc87270065 \h </w:instrText>
            </w:r>
            <w:r>
              <w:rPr>
                <w:webHidden/>
              </w:rPr>
            </w:r>
            <w:r>
              <w:rPr>
                <w:webHidden/>
              </w:rPr>
              <w:fldChar w:fldCharType="separate"/>
            </w:r>
            <w:r>
              <w:rPr>
                <w:webHidden/>
              </w:rPr>
              <w:t>13</w:t>
            </w:r>
            <w:r>
              <w:rPr>
                <w:webHidden/>
              </w:rPr>
              <w:fldChar w:fldCharType="end"/>
            </w:r>
          </w:hyperlink>
        </w:p>
        <w:p w14:paraId="23DAC2DE" w14:textId="25C22D08" w:rsidR="00A27CCB" w:rsidRDefault="00A27CCB">
          <w:pPr>
            <w:pStyle w:val="TOC2"/>
            <w:rPr>
              <w:rFonts w:eastAsiaTheme="minorEastAsia"/>
              <w:sz w:val="22"/>
              <w:lang w:eastAsia="en-AU"/>
            </w:rPr>
          </w:pPr>
          <w:hyperlink w:anchor="_Toc87270066" w:history="1">
            <w:r w:rsidRPr="00DC6B57">
              <w:rPr>
                <w:rStyle w:val="Hyperlink"/>
              </w:rPr>
              <w:t>Intuitive</w:t>
            </w:r>
            <w:r>
              <w:rPr>
                <w:webHidden/>
              </w:rPr>
              <w:tab/>
            </w:r>
            <w:r>
              <w:rPr>
                <w:webHidden/>
              </w:rPr>
              <w:fldChar w:fldCharType="begin"/>
            </w:r>
            <w:r>
              <w:rPr>
                <w:webHidden/>
              </w:rPr>
              <w:instrText xml:space="preserve"> PAGEREF _Toc87270066 \h </w:instrText>
            </w:r>
            <w:r>
              <w:rPr>
                <w:webHidden/>
              </w:rPr>
            </w:r>
            <w:r>
              <w:rPr>
                <w:webHidden/>
              </w:rPr>
              <w:fldChar w:fldCharType="separate"/>
            </w:r>
            <w:r>
              <w:rPr>
                <w:webHidden/>
              </w:rPr>
              <w:t>15</w:t>
            </w:r>
            <w:r>
              <w:rPr>
                <w:webHidden/>
              </w:rPr>
              <w:fldChar w:fldCharType="end"/>
            </w:r>
          </w:hyperlink>
        </w:p>
        <w:p w14:paraId="1A727679" w14:textId="050F1341" w:rsidR="00A27CCB" w:rsidRDefault="00A27CCB">
          <w:pPr>
            <w:pStyle w:val="TOC1"/>
            <w:rPr>
              <w:rFonts w:eastAsiaTheme="minorEastAsia"/>
              <w:b w:val="0"/>
              <w:sz w:val="22"/>
              <w:lang w:eastAsia="en-AU"/>
            </w:rPr>
          </w:pPr>
          <w:hyperlink w:anchor="_Toc87270067" w:history="1">
            <w:r w:rsidRPr="00DC6B57">
              <w:rPr>
                <w:rStyle w:val="Hyperlink"/>
              </w:rPr>
              <w:t>Listening beyond words</w:t>
            </w:r>
            <w:r>
              <w:rPr>
                <w:webHidden/>
              </w:rPr>
              <w:tab/>
            </w:r>
            <w:r>
              <w:rPr>
                <w:webHidden/>
              </w:rPr>
              <w:fldChar w:fldCharType="begin"/>
            </w:r>
            <w:r>
              <w:rPr>
                <w:webHidden/>
              </w:rPr>
              <w:instrText xml:space="preserve"> PAGEREF _Toc87270067 \h </w:instrText>
            </w:r>
            <w:r>
              <w:rPr>
                <w:webHidden/>
              </w:rPr>
            </w:r>
            <w:r>
              <w:rPr>
                <w:webHidden/>
              </w:rPr>
              <w:fldChar w:fldCharType="separate"/>
            </w:r>
            <w:r>
              <w:rPr>
                <w:webHidden/>
              </w:rPr>
              <w:t>15</w:t>
            </w:r>
            <w:r>
              <w:rPr>
                <w:webHidden/>
              </w:rPr>
              <w:fldChar w:fldCharType="end"/>
            </w:r>
          </w:hyperlink>
        </w:p>
        <w:p w14:paraId="3437BFCC" w14:textId="64A21487" w:rsidR="00A27CCB" w:rsidRDefault="00A27CCB">
          <w:pPr>
            <w:pStyle w:val="TOC2"/>
            <w:rPr>
              <w:rFonts w:eastAsiaTheme="minorEastAsia"/>
              <w:sz w:val="22"/>
              <w:lang w:eastAsia="en-AU"/>
            </w:rPr>
          </w:pPr>
          <w:hyperlink w:anchor="_Toc87270068" w:history="1">
            <w:r w:rsidRPr="00DC6B57">
              <w:rPr>
                <w:rStyle w:val="Hyperlink"/>
              </w:rPr>
              <w:t>Friendly</w:t>
            </w:r>
            <w:r>
              <w:rPr>
                <w:webHidden/>
              </w:rPr>
              <w:tab/>
            </w:r>
            <w:r>
              <w:rPr>
                <w:webHidden/>
              </w:rPr>
              <w:fldChar w:fldCharType="begin"/>
            </w:r>
            <w:r>
              <w:rPr>
                <w:webHidden/>
              </w:rPr>
              <w:instrText xml:space="preserve"> PAGEREF _Toc87270068 \h </w:instrText>
            </w:r>
            <w:r>
              <w:rPr>
                <w:webHidden/>
              </w:rPr>
            </w:r>
            <w:r>
              <w:rPr>
                <w:webHidden/>
              </w:rPr>
              <w:fldChar w:fldCharType="separate"/>
            </w:r>
            <w:r>
              <w:rPr>
                <w:webHidden/>
              </w:rPr>
              <w:t>18</w:t>
            </w:r>
            <w:r>
              <w:rPr>
                <w:webHidden/>
              </w:rPr>
              <w:fldChar w:fldCharType="end"/>
            </w:r>
          </w:hyperlink>
        </w:p>
        <w:p w14:paraId="59C5C5A8" w14:textId="4EB0842B" w:rsidR="00A27CCB" w:rsidRDefault="00A27CCB">
          <w:pPr>
            <w:pStyle w:val="TOC1"/>
            <w:rPr>
              <w:rFonts w:eastAsiaTheme="minorEastAsia"/>
              <w:b w:val="0"/>
              <w:sz w:val="22"/>
              <w:lang w:eastAsia="en-AU"/>
            </w:rPr>
          </w:pPr>
          <w:hyperlink w:anchor="_Toc87270069" w:history="1">
            <w:r w:rsidRPr="00DC6B57">
              <w:rPr>
                <w:rStyle w:val="Hyperlink"/>
              </w:rPr>
              <w:t>Friendly faces lend a helping hand</w:t>
            </w:r>
            <w:r>
              <w:rPr>
                <w:webHidden/>
              </w:rPr>
              <w:tab/>
            </w:r>
            <w:r>
              <w:rPr>
                <w:webHidden/>
              </w:rPr>
              <w:fldChar w:fldCharType="begin"/>
            </w:r>
            <w:r>
              <w:rPr>
                <w:webHidden/>
              </w:rPr>
              <w:instrText xml:space="preserve"> PAGEREF _Toc87270069 \h </w:instrText>
            </w:r>
            <w:r>
              <w:rPr>
                <w:webHidden/>
              </w:rPr>
            </w:r>
            <w:r>
              <w:rPr>
                <w:webHidden/>
              </w:rPr>
              <w:fldChar w:fldCharType="separate"/>
            </w:r>
            <w:r>
              <w:rPr>
                <w:webHidden/>
              </w:rPr>
              <w:t>18</w:t>
            </w:r>
            <w:r>
              <w:rPr>
                <w:webHidden/>
              </w:rPr>
              <w:fldChar w:fldCharType="end"/>
            </w:r>
          </w:hyperlink>
        </w:p>
        <w:p w14:paraId="133CA1FD" w14:textId="3A867BDD" w:rsidR="00A27CCB" w:rsidRDefault="00A27CCB">
          <w:pPr>
            <w:pStyle w:val="TOC1"/>
            <w:rPr>
              <w:rFonts w:eastAsiaTheme="minorEastAsia"/>
              <w:b w:val="0"/>
              <w:sz w:val="22"/>
              <w:lang w:eastAsia="en-AU"/>
            </w:rPr>
          </w:pPr>
          <w:hyperlink w:anchor="_Toc87270070" w:history="1">
            <w:r w:rsidRPr="00DC6B57">
              <w:rPr>
                <w:rStyle w:val="Hyperlink"/>
              </w:rPr>
              <w:t>JobKeeper props up operating deficit</w:t>
            </w:r>
            <w:r>
              <w:rPr>
                <w:webHidden/>
              </w:rPr>
              <w:tab/>
            </w:r>
            <w:r>
              <w:rPr>
                <w:webHidden/>
              </w:rPr>
              <w:fldChar w:fldCharType="begin"/>
            </w:r>
            <w:r>
              <w:rPr>
                <w:webHidden/>
              </w:rPr>
              <w:instrText xml:space="preserve"> PAGEREF _Toc87270070 \h </w:instrText>
            </w:r>
            <w:r>
              <w:rPr>
                <w:webHidden/>
              </w:rPr>
            </w:r>
            <w:r>
              <w:rPr>
                <w:webHidden/>
              </w:rPr>
              <w:fldChar w:fldCharType="separate"/>
            </w:r>
            <w:r>
              <w:rPr>
                <w:webHidden/>
              </w:rPr>
              <w:t>20</w:t>
            </w:r>
            <w:r>
              <w:rPr>
                <w:webHidden/>
              </w:rPr>
              <w:fldChar w:fldCharType="end"/>
            </w:r>
          </w:hyperlink>
        </w:p>
        <w:p w14:paraId="723DBC59" w14:textId="181F263A" w:rsidR="001E0D98" w:rsidRDefault="001E0D98" w:rsidP="001E0D98">
          <w:pPr>
            <w:rPr>
              <w:bCs/>
              <w:noProof/>
            </w:rPr>
          </w:pPr>
          <w:r>
            <w:rPr>
              <w:b/>
              <w:noProof/>
              <w:sz w:val="28"/>
            </w:rPr>
            <w:fldChar w:fldCharType="end"/>
          </w:r>
        </w:p>
      </w:sdtContent>
    </w:sdt>
    <w:p w14:paraId="42AE589C" w14:textId="77777777" w:rsidR="001E0D98" w:rsidRPr="001E0D98" w:rsidRDefault="001E0D98" w:rsidP="00EA5C32">
      <w:r w:rsidRPr="001E0D98">
        <w:br w:type="page"/>
      </w:r>
    </w:p>
    <w:p w14:paraId="32E146EF" w14:textId="344E80C2" w:rsidR="002B2AE8" w:rsidRDefault="002B2AE8" w:rsidP="001E0D98">
      <w:pPr>
        <w:pStyle w:val="Heading1"/>
      </w:pPr>
      <w:bookmarkStart w:id="0" w:name="_Toc87270054"/>
      <w:r w:rsidRPr="002B2AE8">
        <w:lastRenderedPageBreak/>
        <w:t>Who are we, at our best?</w:t>
      </w:r>
      <w:bookmarkEnd w:id="0"/>
    </w:p>
    <w:p w14:paraId="65C148FF" w14:textId="705B1F6C" w:rsidR="002B2AE8" w:rsidRPr="00055DFD" w:rsidRDefault="00055DFD" w:rsidP="002B2AE8">
      <w:pPr>
        <w:pStyle w:val="BodyText"/>
        <w:rPr>
          <w:b/>
          <w:bCs/>
        </w:rPr>
      </w:pPr>
      <w:r w:rsidRPr="00055DFD">
        <w:rPr>
          <w:b/>
          <w:bCs/>
        </w:rPr>
        <w:t>W</w:t>
      </w:r>
      <w:r w:rsidR="002B2AE8" w:rsidRPr="00055DFD">
        <w:rPr>
          <w:b/>
          <w:bCs/>
        </w:rPr>
        <w:t xml:space="preserve">hat does it mean to be part of the </w:t>
      </w:r>
      <w:proofErr w:type="spellStart"/>
      <w:r w:rsidR="002B2AE8" w:rsidRPr="00055DFD">
        <w:rPr>
          <w:b/>
          <w:bCs/>
        </w:rPr>
        <w:t>Avivo</w:t>
      </w:r>
      <w:proofErr w:type="spellEnd"/>
      <w:r w:rsidR="002B2AE8" w:rsidRPr="00055DFD">
        <w:rPr>
          <w:b/>
          <w:bCs/>
        </w:rPr>
        <w:t xml:space="preserve"> team? When we reflect on what we do, and how we do it, the people of </w:t>
      </w:r>
      <w:proofErr w:type="spellStart"/>
      <w:r w:rsidR="002B2AE8" w:rsidRPr="00055DFD">
        <w:rPr>
          <w:b/>
          <w:bCs/>
        </w:rPr>
        <w:t>Avivo</w:t>
      </w:r>
      <w:proofErr w:type="spellEnd"/>
      <w:r w:rsidR="002B2AE8" w:rsidRPr="00055DFD">
        <w:rPr>
          <w:b/>
          <w:bCs/>
        </w:rPr>
        <w:t xml:space="preserve"> identify with a range of qualities that capture who</w:t>
      </w:r>
      <w:r>
        <w:rPr>
          <w:b/>
          <w:bCs/>
        </w:rPr>
        <w:t> </w:t>
      </w:r>
      <w:r w:rsidR="002B2AE8" w:rsidRPr="00055DFD">
        <w:rPr>
          <w:b/>
          <w:bCs/>
        </w:rPr>
        <w:t>we are when we're at</w:t>
      </w:r>
      <w:r>
        <w:rPr>
          <w:b/>
          <w:bCs/>
        </w:rPr>
        <w:t> </w:t>
      </w:r>
      <w:r w:rsidR="002B2AE8" w:rsidRPr="00055DFD">
        <w:rPr>
          <w:b/>
          <w:bCs/>
        </w:rPr>
        <w:t xml:space="preserve">our best. </w:t>
      </w:r>
    </w:p>
    <w:p w14:paraId="431A4FEE" w14:textId="53E6056A" w:rsidR="002B2AE8" w:rsidRPr="00055DFD" w:rsidRDefault="002B2AE8" w:rsidP="002B2AE8">
      <w:pPr>
        <w:pStyle w:val="BodyText"/>
      </w:pPr>
      <w:r w:rsidRPr="00055DFD">
        <w:t>At our best we are resilient. We face adversity head-on. No challenge is too big or too</w:t>
      </w:r>
      <w:r w:rsidR="00055DFD" w:rsidRPr="00055DFD">
        <w:t> </w:t>
      </w:r>
      <w:r w:rsidRPr="00055DFD">
        <w:t>much for us to handle.</w:t>
      </w:r>
    </w:p>
    <w:p w14:paraId="3A3A6E71" w14:textId="6CAF7ED8" w:rsidR="002B2AE8" w:rsidRPr="00055DFD" w:rsidRDefault="002B2AE8" w:rsidP="00055DFD">
      <w:pPr>
        <w:pStyle w:val="BodyText"/>
      </w:pPr>
      <w:r w:rsidRPr="00055DFD">
        <w:t xml:space="preserve">At our best we are optimistic. We will hold faith and resolve, even where others can’t. </w:t>
      </w:r>
    </w:p>
    <w:p w14:paraId="6EABB572" w14:textId="23A20CC5" w:rsidR="002B2AE8" w:rsidRPr="00055DFD" w:rsidRDefault="002B2AE8" w:rsidP="00055DFD">
      <w:pPr>
        <w:pStyle w:val="BodyText"/>
        <w:keepNext/>
        <w:keepLines/>
      </w:pPr>
      <w:r w:rsidRPr="00055DFD">
        <w:t xml:space="preserve">We see a bright future, even on a cloudy day. </w:t>
      </w:r>
    </w:p>
    <w:p w14:paraId="4C5CD2CB" w14:textId="25FF1D70" w:rsidR="002B2AE8" w:rsidRPr="00055DFD" w:rsidRDefault="002B2AE8" w:rsidP="002B2AE8">
      <w:pPr>
        <w:pStyle w:val="BodyText"/>
      </w:pPr>
      <w:r w:rsidRPr="00055DFD">
        <w:t>At our best we are intuitive. We use our experience to listen and to hear beyond words. We know when we're</w:t>
      </w:r>
      <w:r w:rsidR="00055DFD" w:rsidRPr="00055DFD">
        <w:t> </w:t>
      </w:r>
      <w:r w:rsidRPr="00055DFD">
        <w:t xml:space="preserve">needed before the words are spoken. We communicate with our hearts, as well as our minds. </w:t>
      </w:r>
    </w:p>
    <w:p w14:paraId="200FA3AB" w14:textId="77777777" w:rsidR="002B2AE8" w:rsidRPr="00055DFD" w:rsidRDefault="002B2AE8" w:rsidP="002B2AE8">
      <w:pPr>
        <w:pStyle w:val="BodyText"/>
      </w:pPr>
      <w:r w:rsidRPr="00055DFD">
        <w:t xml:space="preserve">At our best we are flexible. We go with the flow, adapting with ease. Like a stream, we twist and turn around obstacles we meet. </w:t>
      </w:r>
    </w:p>
    <w:p w14:paraId="35F6D064" w14:textId="77777777" w:rsidR="00055DFD" w:rsidRPr="00055DFD" w:rsidRDefault="002B2AE8" w:rsidP="00055DFD">
      <w:pPr>
        <w:pStyle w:val="BodyText"/>
      </w:pPr>
      <w:r w:rsidRPr="00055DFD">
        <w:t>At our best we are creative.</w:t>
      </w:r>
    </w:p>
    <w:p w14:paraId="13069C82" w14:textId="58A55010" w:rsidR="002B2AE8" w:rsidRPr="00055DFD" w:rsidRDefault="002B2AE8" w:rsidP="00055DFD">
      <w:pPr>
        <w:pStyle w:val="BodyText"/>
      </w:pPr>
      <w:r w:rsidRPr="00055DFD">
        <w:t xml:space="preserve">We like to look outside the box. We like to do things a bit differently and we enjoy working together to find new ways of doing things in partnership with our customers and families. </w:t>
      </w:r>
    </w:p>
    <w:p w14:paraId="732E2FDE" w14:textId="35BA66A0" w:rsidR="002B2AE8" w:rsidRPr="00055DFD" w:rsidRDefault="002B2AE8" w:rsidP="002B2AE8">
      <w:pPr>
        <w:pStyle w:val="BodyText"/>
      </w:pPr>
      <w:r w:rsidRPr="00055DFD">
        <w:t>At our best we are a friendly bunch. We look out for one another and take a special interest in the lives of our colleagues and customers. We know how to have a good time and we know how</w:t>
      </w:r>
      <w:r w:rsidR="00055DFD" w:rsidRPr="00055DFD">
        <w:t> </w:t>
      </w:r>
      <w:r w:rsidRPr="00055DFD">
        <w:t>to celebrate wins and acknowledge each other for</w:t>
      </w:r>
      <w:r w:rsidR="00055DFD" w:rsidRPr="00055DFD">
        <w:t> </w:t>
      </w:r>
      <w:r w:rsidRPr="00055DFD">
        <w:t>a job well done.</w:t>
      </w:r>
    </w:p>
    <w:p w14:paraId="4DEF590D" w14:textId="77777777" w:rsidR="002B2AE8" w:rsidRPr="00055DFD" w:rsidRDefault="002B2AE8" w:rsidP="002B2AE8">
      <w:pPr>
        <w:pStyle w:val="BodyText"/>
      </w:pPr>
      <w:r w:rsidRPr="00055DFD">
        <w:t xml:space="preserve">At our best we are brave. We stare down adversity, roll up our sleeves, and get the job done. We tackle difficult subjects and shine the light on injustice and inequality. </w:t>
      </w:r>
    </w:p>
    <w:p w14:paraId="723815DF" w14:textId="77777777" w:rsidR="002B2AE8" w:rsidRPr="00055DFD" w:rsidRDefault="002B2AE8" w:rsidP="002B2AE8">
      <w:pPr>
        <w:pStyle w:val="BodyText"/>
      </w:pPr>
      <w:r w:rsidRPr="00055DFD">
        <w:t xml:space="preserve">We have each other’s backs and work </w:t>
      </w:r>
      <w:proofErr w:type="gramStart"/>
      <w:r w:rsidRPr="00055DFD">
        <w:t>hand-in-hand</w:t>
      </w:r>
      <w:proofErr w:type="gramEnd"/>
      <w:r w:rsidRPr="00055DFD">
        <w:t xml:space="preserve"> to help our customers tackle their challenges.</w:t>
      </w:r>
    </w:p>
    <w:p w14:paraId="605EB9B1" w14:textId="37BDA683" w:rsidR="002B2AE8" w:rsidRPr="00055DFD" w:rsidRDefault="002B2AE8" w:rsidP="002B2AE8">
      <w:pPr>
        <w:pStyle w:val="BodyText"/>
      </w:pPr>
      <w:r w:rsidRPr="00055DFD">
        <w:t>Every day we strive to be at</w:t>
      </w:r>
      <w:r w:rsidR="00055DFD">
        <w:t> </w:t>
      </w:r>
      <w:r w:rsidRPr="00055DFD">
        <w:t>our best. We think that this past year has given us</w:t>
      </w:r>
      <w:r w:rsidR="00055DFD">
        <w:t> </w:t>
      </w:r>
      <w:r w:rsidRPr="00055DFD">
        <w:t>plenty of opportunities to</w:t>
      </w:r>
      <w:r w:rsidR="00055DFD">
        <w:t> </w:t>
      </w:r>
      <w:proofErr w:type="gramStart"/>
      <w:r w:rsidRPr="00055DFD">
        <w:t>rise up</w:t>
      </w:r>
      <w:proofErr w:type="gramEnd"/>
      <w:r w:rsidRPr="00055DFD">
        <w:t xml:space="preserve"> and meet our challenges head on.</w:t>
      </w:r>
    </w:p>
    <w:p w14:paraId="23D98B5E" w14:textId="77777777" w:rsidR="00A12FF2" w:rsidRDefault="00A12FF2">
      <w:pPr>
        <w:spacing w:after="160" w:line="259" w:lineRule="auto"/>
        <w:rPr>
          <w:rFonts w:asciiTheme="majorHAnsi" w:eastAsiaTheme="majorEastAsia" w:hAnsiTheme="majorHAnsi" w:cstheme="majorBidi"/>
          <w:b/>
          <w:noProof/>
          <w:spacing w:val="-5"/>
          <w:sz w:val="56"/>
          <w:szCs w:val="36"/>
        </w:rPr>
      </w:pPr>
      <w:r>
        <w:br w:type="page"/>
      </w:r>
    </w:p>
    <w:p w14:paraId="107A2FBE" w14:textId="23523575" w:rsidR="002B2AE8" w:rsidRPr="002B2AE8" w:rsidRDefault="00055DFD" w:rsidP="001E0D98">
      <w:pPr>
        <w:pStyle w:val="Heading1"/>
      </w:pPr>
      <w:bookmarkStart w:id="1" w:name="_Toc87270055"/>
      <w:r w:rsidRPr="001E0D98">
        <w:lastRenderedPageBreak/>
        <w:t>Rising</w:t>
      </w:r>
      <w:r w:rsidRPr="00055DFD">
        <w:t xml:space="preserve"> to every challenge we face</w:t>
      </w:r>
      <w:bookmarkEnd w:id="1"/>
    </w:p>
    <w:p w14:paraId="0A646BE2" w14:textId="4B17B8F0" w:rsidR="00055DFD" w:rsidRPr="001E0D98" w:rsidRDefault="001E0D98" w:rsidP="001E0D98">
      <w:pPr>
        <w:pStyle w:val="BodyText"/>
      </w:pPr>
      <w:r w:rsidRPr="001E0D98">
        <w:t>Rosie Lawn</w:t>
      </w:r>
      <w:r w:rsidRPr="001E0D98">
        <w:br/>
      </w:r>
      <w:r w:rsidR="00D92A75">
        <w:t>CEO</w:t>
      </w:r>
    </w:p>
    <w:p w14:paraId="215AD496" w14:textId="77777777" w:rsidR="00D82E99" w:rsidRPr="00D82E99" w:rsidRDefault="00D82E99" w:rsidP="00D82E99">
      <w:pPr>
        <w:pStyle w:val="BodyText"/>
        <w:rPr>
          <w:b/>
          <w:bCs/>
          <w:noProof/>
        </w:rPr>
      </w:pPr>
      <w:r w:rsidRPr="00D82E99">
        <w:rPr>
          <w:b/>
          <w:bCs/>
          <w:noProof/>
        </w:rPr>
        <w:t xml:space="preserve">Over the past couple of years we have spent time reflecting on the work of our founder Gwin Ruston. </w:t>
      </w:r>
    </w:p>
    <w:p w14:paraId="349A3AE3" w14:textId="77777777" w:rsidR="00D82E99" w:rsidRDefault="00D82E99" w:rsidP="00D82E99">
      <w:pPr>
        <w:pStyle w:val="BodyText"/>
        <w:spacing w:before="180"/>
        <w:rPr>
          <w:noProof/>
        </w:rPr>
      </w:pPr>
      <w:r>
        <w:rPr>
          <w:noProof/>
        </w:rPr>
        <w:t xml:space="preserve">Gwin was a pioneer in the ‘helping’ services of Western Australia and accomplished so much in such a short amount of time. </w:t>
      </w:r>
    </w:p>
    <w:p w14:paraId="1BD1D961" w14:textId="77777777" w:rsidR="00D82E99" w:rsidRDefault="00D82E99" w:rsidP="00D82E99">
      <w:pPr>
        <w:pStyle w:val="BodyText"/>
        <w:spacing w:before="180"/>
        <w:rPr>
          <w:noProof/>
        </w:rPr>
      </w:pPr>
      <w:r>
        <w:rPr>
          <w:noProof/>
        </w:rPr>
        <w:t>If she saw a need, Gwin would work out a way to have it met.</w:t>
      </w:r>
    </w:p>
    <w:p w14:paraId="2C15FF14" w14:textId="37EED21D" w:rsidR="00D82E99" w:rsidRDefault="00D82E99" w:rsidP="00D82E99">
      <w:pPr>
        <w:pStyle w:val="BodyText"/>
        <w:spacing w:before="180"/>
        <w:rPr>
          <w:noProof/>
        </w:rPr>
      </w:pPr>
      <w:r>
        <w:rPr>
          <w:noProof/>
        </w:rPr>
        <w:t>At times it feels as though a</w:t>
      </w:r>
      <w:r>
        <w:rPr>
          <w:noProof/>
        </w:rPr>
        <w:t> </w:t>
      </w:r>
      <w:r>
        <w:rPr>
          <w:noProof/>
        </w:rPr>
        <w:t>lot of the work we naturally</w:t>
      </w:r>
      <w:r>
        <w:rPr>
          <w:noProof/>
        </w:rPr>
        <w:t> </w:t>
      </w:r>
      <w:r>
        <w:rPr>
          <w:noProof/>
        </w:rPr>
        <w:t>gravitate toward is</w:t>
      </w:r>
      <w:r>
        <w:rPr>
          <w:noProof/>
        </w:rPr>
        <w:t> </w:t>
      </w:r>
      <w:r>
        <w:rPr>
          <w:noProof/>
        </w:rPr>
        <w:t>some sort of memory passed down to us, from Gwin, over many decades of</w:t>
      </w:r>
      <w:r>
        <w:rPr>
          <w:noProof/>
        </w:rPr>
        <w:t> </w:t>
      </w:r>
      <w:r>
        <w:rPr>
          <w:noProof/>
        </w:rPr>
        <w:t>work.</w:t>
      </w:r>
    </w:p>
    <w:p w14:paraId="62E77177" w14:textId="41F2EC6B" w:rsidR="00D82E99" w:rsidRDefault="00D82E99" w:rsidP="00D82E99">
      <w:pPr>
        <w:pStyle w:val="BodyText"/>
        <w:spacing w:before="180"/>
        <w:rPr>
          <w:noProof/>
        </w:rPr>
      </w:pPr>
      <w:r>
        <w:rPr>
          <w:noProof/>
        </w:rPr>
        <w:t>Or maybe we attract people like Gwin who enjoy the work of supporting others and stepping in beside them</w:t>
      </w:r>
      <w:r>
        <w:rPr>
          <w:noProof/>
        </w:rPr>
        <w:t> </w:t>
      </w:r>
      <w:r>
        <w:rPr>
          <w:noProof/>
        </w:rPr>
        <w:t>to help.</w:t>
      </w:r>
    </w:p>
    <w:p w14:paraId="584B3099" w14:textId="22D4DCCD" w:rsidR="00D82E99" w:rsidRDefault="00D82E99" w:rsidP="00D82E99">
      <w:pPr>
        <w:pStyle w:val="BodyText"/>
        <w:spacing w:before="180"/>
        <w:rPr>
          <w:noProof/>
        </w:rPr>
      </w:pPr>
      <w:r>
        <w:rPr>
          <w:noProof/>
        </w:rPr>
        <w:t>This year has been a great example of our spirit and resilience in action, and we</w:t>
      </w:r>
      <w:r>
        <w:rPr>
          <w:noProof/>
        </w:rPr>
        <w:t> </w:t>
      </w:r>
      <w:r>
        <w:rPr>
          <w:noProof/>
        </w:rPr>
        <w:t>thought we would share some insights from Gwin’s book ‘The Clock of Time’, where she writes about establishing our organisation more than fifty</w:t>
      </w:r>
      <w:r>
        <w:rPr>
          <w:noProof/>
        </w:rPr>
        <w:t> </w:t>
      </w:r>
      <w:r>
        <w:rPr>
          <w:noProof/>
        </w:rPr>
        <w:t xml:space="preserve">years ago. </w:t>
      </w:r>
    </w:p>
    <w:p w14:paraId="7DC61F18" w14:textId="2AF28401" w:rsidR="00D82E99" w:rsidRDefault="00D82E99" w:rsidP="00D82E99">
      <w:pPr>
        <w:pStyle w:val="BodyText"/>
        <w:spacing w:before="180"/>
        <w:rPr>
          <w:noProof/>
        </w:rPr>
      </w:pPr>
      <w:r>
        <w:rPr>
          <w:noProof/>
        </w:rPr>
        <w:t>Her drive to help really mirrors a lot of the work that</w:t>
      </w:r>
      <w:r>
        <w:rPr>
          <w:noProof/>
        </w:rPr>
        <w:t> </w:t>
      </w:r>
      <w:r>
        <w:rPr>
          <w:noProof/>
        </w:rPr>
        <w:t>we have done this past</w:t>
      </w:r>
      <w:r>
        <w:rPr>
          <w:noProof/>
        </w:rPr>
        <w:t> </w:t>
      </w:r>
      <w:r>
        <w:rPr>
          <w:noProof/>
        </w:rPr>
        <w:t>year – as individuals, in</w:t>
      </w:r>
      <w:r>
        <w:rPr>
          <w:noProof/>
        </w:rPr>
        <w:t> </w:t>
      </w:r>
      <w:r>
        <w:rPr>
          <w:noProof/>
        </w:rPr>
        <w:t>teams and as a whole.</w:t>
      </w:r>
    </w:p>
    <w:p w14:paraId="1956DACB" w14:textId="20C79139" w:rsidR="00326DCF" w:rsidRPr="00D719A6" w:rsidRDefault="001E0D98" w:rsidP="00D719A6">
      <w:pPr>
        <w:pStyle w:val="Quote"/>
      </w:pPr>
      <w:r w:rsidRPr="00D719A6">
        <w:t>We started with one housekeeper in the first month, and</w:t>
      </w:r>
      <w:r w:rsidR="00D719A6">
        <w:t> </w:t>
      </w:r>
      <w:r w:rsidRPr="00D719A6">
        <w:t>then it grew like Topsy!</w:t>
      </w:r>
    </w:p>
    <w:p w14:paraId="4759161A" w14:textId="77777777" w:rsidR="001E0D98" w:rsidRPr="00D719A6" w:rsidRDefault="001E0D98" w:rsidP="001E0D98">
      <w:pPr>
        <w:pStyle w:val="BodyText"/>
        <w:rPr>
          <w:b/>
          <w:bCs/>
          <w:noProof/>
        </w:rPr>
      </w:pPr>
      <w:r w:rsidRPr="00D719A6">
        <w:rPr>
          <w:b/>
          <w:bCs/>
          <w:noProof/>
        </w:rPr>
        <w:t>Perth Emergency Housekeeping Service was conceived by our founder Gwin (Gertrude) Ruston through her work with the Western Australian Citizens Advice Bureau (CAB), which she established in 1963.</w:t>
      </w:r>
    </w:p>
    <w:p w14:paraId="3FB1CB5F" w14:textId="77777777" w:rsidR="001E0D98" w:rsidRDefault="001E0D98" w:rsidP="001E0D98">
      <w:pPr>
        <w:pStyle w:val="BodyText"/>
        <w:rPr>
          <w:noProof/>
        </w:rPr>
      </w:pPr>
      <w:r>
        <w:rPr>
          <w:noProof/>
        </w:rPr>
        <w:t>During her time with the CAB, Gwin noticed that they were frequently approached by distressed fathers with children in their arms, seeking immediate aid because their wives had been taken to hospital and there was nobody available to look after the family.</w:t>
      </w:r>
    </w:p>
    <w:p w14:paraId="334DD3A3" w14:textId="1CB3AAE5" w:rsidR="001E0D98" w:rsidRDefault="001E0D98" w:rsidP="001E0D98">
      <w:pPr>
        <w:pStyle w:val="BodyText"/>
        <w:rPr>
          <w:noProof/>
        </w:rPr>
      </w:pPr>
      <w:r>
        <w:rPr>
          <w:noProof/>
        </w:rPr>
        <w:t xml:space="preserve">Seeing the need, Gwin approached the Commissioner for Health, who advised that money was available if she was to start the service and prove the need and capacity to run it. </w:t>
      </w:r>
    </w:p>
    <w:p w14:paraId="4BBCDC25" w14:textId="77777777" w:rsidR="001E0D98" w:rsidRDefault="001E0D98" w:rsidP="001E0D98">
      <w:pPr>
        <w:pStyle w:val="BodyText"/>
        <w:rPr>
          <w:noProof/>
        </w:rPr>
      </w:pPr>
      <w:r>
        <w:rPr>
          <w:noProof/>
        </w:rPr>
        <w:t>She immediately set about raising money and with the very modest amount of $700, she established Perth Emergency Housekeeping Service (now Avivo).</w:t>
      </w:r>
    </w:p>
    <w:p w14:paraId="27565FAB" w14:textId="77777777" w:rsidR="001E0D98" w:rsidRDefault="001E0D98" w:rsidP="001E0D98">
      <w:pPr>
        <w:pStyle w:val="BodyText"/>
        <w:rPr>
          <w:noProof/>
        </w:rPr>
      </w:pPr>
      <w:r>
        <w:rPr>
          <w:noProof/>
        </w:rPr>
        <w:t xml:space="preserve">Soon after its establishment, the service became fully operational and funded. </w:t>
      </w:r>
    </w:p>
    <w:p w14:paraId="37A0F000" w14:textId="77777777" w:rsidR="001E0D98" w:rsidRDefault="001E0D98" w:rsidP="001E0D98">
      <w:pPr>
        <w:pStyle w:val="BodyText"/>
        <w:rPr>
          <w:noProof/>
        </w:rPr>
      </w:pPr>
      <w:r>
        <w:rPr>
          <w:noProof/>
        </w:rPr>
        <w:t>In describing her team, she stated that ‘many of the most satisfactory women were past middle age; experienced in running their own homes; good cooks and able to budget.'</w:t>
      </w:r>
    </w:p>
    <w:p w14:paraId="61F138F0" w14:textId="4FAE9D50" w:rsidR="001E0D98" w:rsidRDefault="001E0D98" w:rsidP="001E0D98">
      <w:pPr>
        <w:pStyle w:val="BodyText"/>
        <w:rPr>
          <w:noProof/>
        </w:rPr>
      </w:pPr>
      <w:r>
        <w:rPr>
          <w:noProof/>
        </w:rPr>
        <w:t xml:space="preserve">If Gwin were alive today, she would be proud of the work that Avivo continues to do in the community. </w:t>
      </w:r>
    </w:p>
    <w:p w14:paraId="67F167F4" w14:textId="332DEB82" w:rsidR="00A12FF2" w:rsidRDefault="001E0D98" w:rsidP="00A12FF2">
      <w:pPr>
        <w:pStyle w:val="BodyText"/>
        <w:rPr>
          <w:rFonts w:asciiTheme="majorHAnsi" w:eastAsiaTheme="majorEastAsia" w:hAnsiTheme="majorHAnsi" w:cstheme="majorBidi"/>
          <w:spacing w:val="-5"/>
          <w:sz w:val="72"/>
          <w:szCs w:val="26"/>
        </w:rPr>
      </w:pPr>
      <w:r>
        <w:rPr>
          <w:noProof/>
        </w:rPr>
        <w:t xml:space="preserve">We might be a different looking workforce, with a different set of challenges, but the sentiment remains: </w:t>
      </w:r>
      <w:r w:rsidRPr="00D719A6">
        <w:rPr>
          <w:rStyle w:val="Bold"/>
        </w:rPr>
        <w:t xml:space="preserve">we stand by </w:t>
      </w:r>
      <w:proofErr w:type="gramStart"/>
      <w:r w:rsidRPr="00D719A6">
        <w:rPr>
          <w:rStyle w:val="Bold"/>
        </w:rPr>
        <w:t>people</w:t>
      </w:r>
      <w:proofErr w:type="gramEnd"/>
      <w:r w:rsidRPr="00D719A6">
        <w:rPr>
          <w:rStyle w:val="Bold"/>
        </w:rPr>
        <w:t xml:space="preserve"> and we do what it takes</w:t>
      </w:r>
      <w:r>
        <w:rPr>
          <w:noProof/>
        </w:rPr>
        <w:t>.</w:t>
      </w:r>
      <w:r w:rsidR="00A12FF2">
        <w:br w:type="page"/>
      </w:r>
    </w:p>
    <w:p w14:paraId="32C24358" w14:textId="6BC46206" w:rsidR="002166F4" w:rsidRDefault="002166F4" w:rsidP="008476B0">
      <w:pPr>
        <w:pStyle w:val="Heading2"/>
        <w:rPr>
          <w:noProof/>
        </w:rPr>
      </w:pPr>
      <w:bookmarkStart w:id="2" w:name="_Toc87270056"/>
      <w:r>
        <w:lastRenderedPageBreak/>
        <w:t>Resilient</w:t>
      </w:r>
      <w:bookmarkEnd w:id="2"/>
    </w:p>
    <w:p w14:paraId="568DDC99" w14:textId="3679090C" w:rsidR="00D719A6" w:rsidRPr="00A12FF2" w:rsidRDefault="00D719A6" w:rsidP="00B67DAF">
      <w:pPr>
        <w:pStyle w:val="Heading5"/>
      </w:pPr>
      <w:r w:rsidRPr="00A12FF2">
        <w:drawing>
          <wp:inline distT="0" distB="0" distL="0" distR="0" wp14:anchorId="64796865" wp14:editId="20A6D983">
            <wp:extent cx="158750" cy="158750"/>
            <wp:effectExtent l="0" t="0" r="0" b="0"/>
            <wp:docPr id="200" name="Picture 2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Picture 231">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59069" cy="159069"/>
                    </a:xfrm>
                    <a:prstGeom prst="rect">
                      <a:avLst/>
                    </a:prstGeom>
                  </pic:spPr>
                </pic:pic>
              </a:graphicData>
            </a:graphic>
          </wp:inline>
        </w:drawing>
      </w:r>
      <w:r w:rsidRPr="00A12FF2">
        <w:br/>
        <w:t xml:space="preserve">Extract from 'The Clock of Time' by </w:t>
      </w:r>
      <w:proofErr w:type="spellStart"/>
      <w:r w:rsidRPr="00A12FF2">
        <w:t>Gwin</w:t>
      </w:r>
      <w:proofErr w:type="spellEnd"/>
      <w:r w:rsidRPr="00A12FF2">
        <w:t xml:space="preserve"> Ruston</w:t>
      </w:r>
    </w:p>
    <w:p w14:paraId="1B54B8BE" w14:textId="77777777" w:rsidR="00D719A6" w:rsidRDefault="00D719A6" w:rsidP="00D719A6">
      <w:pPr>
        <w:pStyle w:val="BodyText"/>
        <w:rPr>
          <w:noProof/>
        </w:rPr>
      </w:pPr>
      <w:r>
        <w:rPr>
          <w:noProof/>
        </w:rPr>
        <w:t xml:space="preserve">‘There were times when we were asked to send a housekeeper immediately when a mother had been taken to hospital. </w:t>
      </w:r>
    </w:p>
    <w:p w14:paraId="1C401EBA" w14:textId="77777777" w:rsidR="00D719A6" w:rsidRDefault="00D719A6" w:rsidP="00D719A6">
      <w:pPr>
        <w:pStyle w:val="BodyText"/>
        <w:rPr>
          <w:noProof/>
        </w:rPr>
      </w:pPr>
      <w:r>
        <w:rPr>
          <w:noProof/>
        </w:rPr>
        <w:t xml:space="preserve">The social worker at the hospital would give the address and stress the urgency. </w:t>
      </w:r>
    </w:p>
    <w:p w14:paraId="62E786E8" w14:textId="77777777" w:rsidR="00D719A6" w:rsidRDefault="00D719A6" w:rsidP="00D719A6">
      <w:pPr>
        <w:pStyle w:val="BodyText"/>
        <w:rPr>
          <w:noProof/>
        </w:rPr>
      </w:pPr>
      <w:r>
        <w:rPr>
          <w:noProof/>
        </w:rPr>
        <w:t>In such cases, we sometimes sent the housekeeper by taxi only to be advised that the house was locked up and she could not get in.</w:t>
      </w:r>
    </w:p>
    <w:p w14:paraId="672F5B1B" w14:textId="77777777" w:rsidR="00D719A6" w:rsidRDefault="00D719A6" w:rsidP="00D719A6">
      <w:pPr>
        <w:pStyle w:val="BodyText"/>
        <w:rPr>
          <w:noProof/>
        </w:rPr>
      </w:pPr>
      <w:r>
        <w:rPr>
          <w:noProof/>
        </w:rPr>
        <w:t xml:space="preserve">Frantic enquiries would ascertain the fact that the key was in the mother’s handbag at the hospital, and that there was a small child to fetch from school. </w:t>
      </w:r>
    </w:p>
    <w:p w14:paraId="1EC6F912" w14:textId="77777777" w:rsidR="00D719A6" w:rsidRDefault="00D719A6" w:rsidP="00D719A6">
      <w:pPr>
        <w:pStyle w:val="BodyText"/>
        <w:rPr>
          <w:noProof/>
        </w:rPr>
      </w:pPr>
      <w:r>
        <w:rPr>
          <w:noProof/>
        </w:rPr>
        <w:t xml:space="preserve">The headmaster had to be asked to hold the child until it was picked up, the housekeeper showing her credentials. </w:t>
      </w:r>
    </w:p>
    <w:p w14:paraId="3BFE1364" w14:textId="524DEE58" w:rsidR="001E0D98" w:rsidRDefault="00D719A6" w:rsidP="00D719A6">
      <w:pPr>
        <w:pStyle w:val="BodyText"/>
        <w:rPr>
          <w:noProof/>
        </w:rPr>
      </w:pPr>
      <w:r>
        <w:rPr>
          <w:noProof/>
        </w:rPr>
        <w:t>After all this it would probably be found that there was very little food in the house and no money to buy any, so that the housekeeper had to spend her own money to buy the essentials until we could make arrangements for her to be financed.’</w:t>
      </w:r>
    </w:p>
    <w:p w14:paraId="43D23E37" w14:textId="5C5CF4B6" w:rsidR="001E0D98" w:rsidRPr="00A12FF2" w:rsidRDefault="00D719A6" w:rsidP="00A12FF2">
      <w:pPr>
        <w:pStyle w:val="CalloutText"/>
      </w:pPr>
      <w:proofErr w:type="spellStart"/>
      <w:r w:rsidRPr="00A12FF2">
        <w:t>Avivo</w:t>
      </w:r>
      <w:proofErr w:type="spellEnd"/>
      <w:r w:rsidRPr="00A12FF2">
        <w:t xml:space="preserve"> supports around 3,300 customers every year across three sectors: aged care, </w:t>
      </w:r>
      <w:proofErr w:type="gramStart"/>
      <w:r w:rsidRPr="00A12FF2">
        <w:t>disability</w:t>
      </w:r>
      <w:proofErr w:type="gramEnd"/>
      <w:r w:rsidRPr="00A12FF2">
        <w:t xml:space="preserve"> and mental health.</w:t>
      </w:r>
    </w:p>
    <w:p w14:paraId="7524E4C6" w14:textId="6D6155CA" w:rsidR="00D719A6" w:rsidRPr="00D719A6" w:rsidRDefault="00D719A6" w:rsidP="002166F4">
      <w:pPr>
        <w:pStyle w:val="Heading4"/>
      </w:pPr>
      <w:r w:rsidRPr="00D719A6">
        <w:t>Who are our customers?</w:t>
      </w:r>
    </w:p>
    <w:p w14:paraId="4A25204A" w14:textId="625A559A" w:rsidR="00D719A6" w:rsidRDefault="00D719A6" w:rsidP="00D719A6">
      <w:pPr>
        <w:pStyle w:val="BodyText"/>
      </w:pPr>
      <w:r w:rsidRPr="00D719A6">
        <w:t>48% aged care, 45% disability and 7% mental health</w:t>
      </w:r>
      <w:r>
        <w:t>.</w:t>
      </w:r>
    </w:p>
    <w:p w14:paraId="0FBA5280" w14:textId="0C59BD8E" w:rsidR="00D719A6" w:rsidRPr="00D719A6" w:rsidRDefault="00D719A6" w:rsidP="002166F4">
      <w:pPr>
        <w:pStyle w:val="Heading4"/>
      </w:pPr>
      <w:r w:rsidRPr="00D719A6">
        <w:t>What’s the percentage of income by funder?</w:t>
      </w:r>
    </w:p>
    <w:p w14:paraId="69C9A7F5" w14:textId="3E92E15E" w:rsidR="00D719A6" w:rsidRDefault="00D719A6" w:rsidP="00D719A6">
      <w:pPr>
        <w:pStyle w:val="BodyText"/>
      </w:pPr>
      <w:r>
        <w:t>68% disability, 28% aged care and 4% mental health.</w:t>
      </w:r>
    </w:p>
    <w:p w14:paraId="277BAF3E" w14:textId="1ADFE7AE" w:rsidR="00D719A6" w:rsidRPr="00D719A6" w:rsidRDefault="00D719A6" w:rsidP="002166F4">
      <w:pPr>
        <w:pStyle w:val="Heading4"/>
      </w:pPr>
      <w:r w:rsidRPr="00D719A6">
        <w:t>Funding organisations that make our work in the community possible:</w:t>
      </w:r>
    </w:p>
    <w:p w14:paraId="4EFE9D96" w14:textId="77777777" w:rsidR="00D719A6" w:rsidRDefault="00D719A6" w:rsidP="00D719A6">
      <w:pPr>
        <w:pStyle w:val="ListBullet0"/>
      </w:pPr>
      <w:r>
        <w:t>Commonwealth Department of Health and Aging</w:t>
      </w:r>
    </w:p>
    <w:p w14:paraId="18F068F3" w14:textId="77777777" w:rsidR="00D719A6" w:rsidRDefault="00D719A6" w:rsidP="00D719A6">
      <w:pPr>
        <w:pStyle w:val="ListBullet0"/>
      </w:pPr>
      <w:r>
        <w:t>National Disability Insurance Agency</w:t>
      </w:r>
    </w:p>
    <w:p w14:paraId="59F6E381" w14:textId="77777777" w:rsidR="00D719A6" w:rsidRDefault="00D719A6" w:rsidP="00D719A6">
      <w:pPr>
        <w:pStyle w:val="ListBullet0"/>
      </w:pPr>
      <w:r>
        <w:t>WA Primary Health Alliance</w:t>
      </w:r>
    </w:p>
    <w:p w14:paraId="6F82B2AA" w14:textId="77777777" w:rsidR="00D719A6" w:rsidRDefault="00D719A6" w:rsidP="00D719A6">
      <w:pPr>
        <w:pStyle w:val="ListBullet0"/>
      </w:pPr>
      <w:r>
        <w:t>WA Mental Health Commission</w:t>
      </w:r>
    </w:p>
    <w:p w14:paraId="040D05B1" w14:textId="77777777" w:rsidR="00D719A6" w:rsidRDefault="00D719A6" w:rsidP="00D719A6">
      <w:pPr>
        <w:pStyle w:val="ListBullet0"/>
      </w:pPr>
      <w:r>
        <w:t xml:space="preserve">WA Department of Health </w:t>
      </w:r>
    </w:p>
    <w:p w14:paraId="23DCA69F" w14:textId="4CB0509D" w:rsidR="00D719A6" w:rsidRDefault="00D719A6" w:rsidP="00D719A6">
      <w:pPr>
        <w:pStyle w:val="ListBullet0"/>
      </w:pPr>
      <w:r>
        <w:t>WA Department of Communities</w:t>
      </w:r>
    </w:p>
    <w:p w14:paraId="2E0F954E" w14:textId="77777777" w:rsidR="00A12FF2" w:rsidRPr="00A12FF2" w:rsidRDefault="00A12FF2">
      <w:pPr>
        <w:spacing w:after="160" w:line="259" w:lineRule="auto"/>
      </w:pPr>
      <w:r w:rsidRPr="00A12FF2">
        <w:br w:type="page"/>
      </w:r>
    </w:p>
    <w:p w14:paraId="55CAF2C2" w14:textId="03B0BB56" w:rsidR="00D719A6" w:rsidRDefault="00D719A6" w:rsidP="00D719A6">
      <w:pPr>
        <w:pStyle w:val="Heading1"/>
      </w:pPr>
      <w:bookmarkStart w:id="3" w:name="_Toc87270057"/>
      <w:r>
        <w:lastRenderedPageBreak/>
        <w:t>Trust in the journey reaps reward</w:t>
      </w:r>
      <w:bookmarkEnd w:id="3"/>
      <w:r>
        <w:t xml:space="preserve"> </w:t>
      </w:r>
    </w:p>
    <w:p w14:paraId="1D915350" w14:textId="5C06DB48" w:rsidR="00D719A6" w:rsidRPr="00D719A6" w:rsidRDefault="00D719A6" w:rsidP="00D719A6">
      <w:pPr>
        <w:pStyle w:val="BodyText"/>
        <w:rPr>
          <w:b/>
          <w:bCs/>
        </w:rPr>
      </w:pPr>
      <w:r w:rsidRPr="00D719A6">
        <w:rPr>
          <w:b/>
          <w:bCs/>
        </w:rPr>
        <w:t xml:space="preserve">We celebrated a major milestone on our transformation journey in June of 2021, officially marking the creation of 101 community-based teams across WA. </w:t>
      </w:r>
    </w:p>
    <w:p w14:paraId="6B35D523" w14:textId="77777777" w:rsidR="00D719A6" w:rsidRDefault="00D719A6" w:rsidP="00D719A6">
      <w:pPr>
        <w:pStyle w:val="BodyText"/>
      </w:pPr>
      <w:r>
        <w:t xml:space="preserve">Having reached this milestone, we formally dispersed the ‘Working Locally’ team and absorbed its members into other areas of the organisation to continue strengthening teams across </w:t>
      </w:r>
      <w:proofErr w:type="spellStart"/>
      <w:r>
        <w:t>Avivo</w:t>
      </w:r>
      <w:proofErr w:type="spellEnd"/>
      <w:r>
        <w:t>.</w:t>
      </w:r>
    </w:p>
    <w:p w14:paraId="0B3E9EF2" w14:textId="77777777" w:rsidR="00D719A6" w:rsidRDefault="00D719A6" w:rsidP="00D719A6">
      <w:pPr>
        <w:pStyle w:val="BodyText"/>
      </w:pPr>
      <w:r>
        <w:t xml:space="preserve">Our transformation journey began in May 2017. </w:t>
      </w:r>
    </w:p>
    <w:p w14:paraId="7C646DDF" w14:textId="77777777" w:rsidR="00D719A6" w:rsidRDefault="00D719A6" w:rsidP="00D719A6">
      <w:pPr>
        <w:pStyle w:val="BodyText"/>
      </w:pPr>
      <w:r>
        <w:t xml:space="preserve">We wanted to better support our customers and colleagues and decided the best way to do this was by creating local community teams that supported people in a specific locality, or neighbourhood. </w:t>
      </w:r>
    </w:p>
    <w:p w14:paraId="7FB3B47B" w14:textId="5761D2F4" w:rsidR="00D719A6" w:rsidRDefault="00D719A6" w:rsidP="00D719A6">
      <w:pPr>
        <w:pStyle w:val="BodyText"/>
      </w:pPr>
      <w:r>
        <w:t xml:space="preserve">Moving to Community Teams was no mean feat. There was a lot of planning, a significant amount of </w:t>
      </w:r>
      <w:proofErr w:type="gramStart"/>
      <w:r>
        <w:t>falling down</w:t>
      </w:r>
      <w:proofErr w:type="gramEnd"/>
      <w:r>
        <w:t xml:space="preserve"> and getting back up again, and plenty of challenges to overcome. </w:t>
      </w:r>
    </w:p>
    <w:p w14:paraId="2C1FDAE8" w14:textId="77777777" w:rsidR="00D719A6" w:rsidRDefault="00D719A6" w:rsidP="00D719A6">
      <w:pPr>
        <w:pStyle w:val="BodyText"/>
      </w:pPr>
      <w:r>
        <w:t>We encountered a few naysayers, along with others who had buckets of energy and enthusiasm for the ambitious project.</w:t>
      </w:r>
    </w:p>
    <w:p w14:paraId="5D1DB272" w14:textId="77777777" w:rsidR="00D719A6" w:rsidRDefault="00D719A6" w:rsidP="00D719A6">
      <w:pPr>
        <w:pStyle w:val="BodyText"/>
        <w:spacing w:after="0"/>
      </w:pPr>
      <w:r>
        <w:t>Now that this part of the journey is over, we can look back and reflect on what we have learnt:</w:t>
      </w:r>
    </w:p>
    <w:p w14:paraId="5753BA25" w14:textId="77777777" w:rsidR="00D719A6" w:rsidRDefault="00D719A6" w:rsidP="00D719A6">
      <w:pPr>
        <w:pStyle w:val="ListBullet0"/>
      </w:pPr>
      <w:r>
        <w:t xml:space="preserve">In the midst of change, we must keep reminding ourselves of the </w:t>
      </w:r>
      <w:proofErr w:type="gramStart"/>
      <w:r>
        <w:t>longer term</w:t>
      </w:r>
      <w:proofErr w:type="gramEnd"/>
      <w:r>
        <w:t xml:space="preserve"> benefits to customers and colleagues</w:t>
      </w:r>
    </w:p>
    <w:p w14:paraId="42190B83" w14:textId="77777777" w:rsidR="00D719A6" w:rsidRDefault="00D719A6" w:rsidP="00D719A6">
      <w:pPr>
        <w:pStyle w:val="ListBullet0"/>
      </w:pPr>
      <w:r>
        <w:t>Good data helps people make better decisions</w:t>
      </w:r>
    </w:p>
    <w:p w14:paraId="55DB73E9" w14:textId="77777777" w:rsidR="00D719A6" w:rsidRDefault="00D719A6" w:rsidP="00D719A6">
      <w:pPr>
        <w:pStyle w:val="ListBullet0"/>
      </w:pPr>
      <w:r>
        <w:t xml:space="preserve">Working together to design the team is essential </w:t>
      </w:r>
    </w:p>
    <w:p w14:paraId="5EFA8AE2" w14:textId="77777777" w:rsidR="00D719A6" w:rsidRDefault="00D719A6" w:rsidP="00D719A6">
      <w:pPr>
        <w:pStyle w:val="ListBullet0"/>
      </w:pPr>
      <w:r>
        <w:t>Support workers being actively involved in decisions leads to a better transition</w:t>
      </w:r>
    </w:p>
    <w:p w14:paraId="1ADC5367" w14:textId="53400AD9" w:rsidR="00D719A6" w:rsidRDefault="00D719A6" w:rsidP="00A26091">
      <w:pPr>
        <w:pStyle w:val="ListBullet0"/>
      </w:pPr>
      <w:r>
        <w:t xml:space="preserve">Team roles assist with the function and connection of the team to the wider organisation  </w:t>
      </w:r>
    </w:p>
    <w:p w14:paraId="117857FC" w14:textId="77777777" w:rsidR="00D719A6" w:rsidRDefault="00D719A6" w:rsidP="00D719A6">
      <w:pPr>
        <w:pStyle w:val="BodyText"/>
      </w:pPr>
      <w:r>
        <w:t xml:space="preserve">Our network of Teams </w:t>
      </w:r>
      <w:proofErr w:type="gramStart"/>
      <w:r>
        <w:t>have</w:t>
      </w:r>
      <w:proofErr w:type="gramEnd"/>
      <w:r>
        <w:t xml:space="preserve"> improved connection between colleagues and provide a sound local basis for providing excellent support to our customers in the future.</w:t>
      </w:r>
    </w:p>
    <w:p w14:paraId="231175D2" w14:textId="50D40F8D" w:rsidR="00D719A6" w:rsidRDefault="00D719A6" w:rsidP="00D719A6">
      <w:pPr>
        <w:pStyle w:val="BodyText"/>
      </w:pPr>
      <w:r>
        <w:t>We are excited to see them grow and develop new ways of working in communities.</w:t>
      </w:r>
    </w:p>
    <w:p w14:paraId="4422D988" w14:textId="2D16C4FB" w:rsidR="00D719A6" w:rsidRPr="00FA41A5" w:rsidRDefault="00FA41A5" w:rsidP="002166F4">
      <w:pPr>
        <w:pStyle w:val="Heading4"/>
      </w:pPr>
      <w:r w:rsidRPr="00FA41A5">
        <w:t>Number of community teams by area</w:t>
      </w:r>
      <w:r>
        <w:t xml:space="preserve"> (as </w:t>
      </w:r>
      <w:proofErr w:type="gramStart"/>
      <w:r>
        <w:t>at</w:t>
      </w:r>
      <w:proofErr w:type="gramEnd"/>
      <w:r>
        <w:t xml:space="preserve"> 30</w:t>
      </w:r>
      <w:r w:rsidRPr="00FA41A5">
        <w:rPr>
          <w:vertAlign w:val="superscript"/>
        </w:rPr>
        <w:t>th</w:t>
      </w:r>
      <w:r>
        <w:t xml:space="preserve"> June 2021)</w:t>
      </w:r>
    </w:p>
    <w:p w14:paraId="0775FBCD" w14:textId="6B9B171C" w:rsidR="00D719A6" w:rsidRDefault="00FA41A5" w:rsidP="00D719A6">
      <w:pPr>
        <w:pStyle w:val="BodyText"/>
      </w:pPr>
      <w:r>
        <w:t>9 in Coral coast</w:t>
      </w:r>
      <w:r>
        <w:br/>
        <w:t>13 in Freemantle</w:t>
      </w:r>
      <w:r>
        <w:br/>
        <w:t>9 in Northern Beaches</w:t>
      </w:r>
      <w:r>
        <w:br/>
        <w:t>9 in Northern River</w:t>
      </w:r>
      <w:r>
        <w:br/>
        <w:t>13 in Pool</w:t>
      </w:r>
      <w:r>
        <w:br/>
        <w:t>4 in Perth Hills</w:t>
      </w:r>
      <w:r>
        <w:br/>
        <w:t xml:space="preserve">14 in </w:t>
      </w:r>
      <w:proofErr w:type="gramStart"/>
      <w:r>
        <w:t>South East</w:t>
      </w:r>
      <w:proofErr w:type="gramEnd"/>
      <w:r>
        <w:t xml:space="preserve"> Ranges</w:t>
      </w:r>
      <w:r>
        <w:br/>
        <w:t>15 in Wheatbelt</w:t>
      </w:r>
      <w:r>
        <w:br/>
        <w:t>15 in Western Beaches.</w:t>
      </w:r>
    </w:p>
    <w:p w14:paraId="37D26ECE" w14:textId="1CA452A8" w:rsidR="00FA41A5" w:rsidRDefault="00FA41A5" w:rsidP="00D719A6">
      <w:pPr>
        <w:pStyle w:val="BodyText"/>
      </w:pPr>
      <w:r>
        <w:t xml:space="preserve">82 are neighbourhood teams and </w:t>
      </w:r>
      <w:r w:rsidR="00EE7D1B">
        <w:t>19 are customer-specific teams.</w:t>
      </w:r>
    </w:p>
    <w:p w14:paraId="2243E2DE" w14:textId="77777777" w:rsidR="002166F4" w:rsidRPr="002166F4" w:rsidRDefault="002166F4" w:rsidP="002166F4">
      <w:pPr>
        <w:pStyle w:val="Heading3"/>
      </w:pPr>
      <w:r w:rsidRPr="002166F4">
        <w:lastRenderedPageBreak/>
        <w:drawing>
          <wp:inline distT="0" distB="0" distL="0" distR="0" wp14:anchorId="73F2E4EA" wp14:editId="4844EAD4">
            <wp:extent cx="158750" cy="158750"/>
            <wp:effectExtent l="0" t="0" r="0" b="0"/>
            <wp:docPr id="201" name="Picture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Picture 231">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59069" cy="159069"/>
                    </a:xfrm>
                    <a:prstGeom prst="rect">
                      <a:avLst/>
                    </a:prstGeom>
                  </pic:spPr>
                </pic:pic>
              </a:graphicData>
            </a:graphic>
          </wp:inline>
        </w:drawing>
      </w:r>
      <w:r w:rsidRPr="002166F4">
        <w:br/>
        <w:t>How we support people</w:t>
      </w:r>
    </w:p>
    <w:p w14:paraId="216318B8" w14:textId="77777777" w:rsidR="002166F4" w:rsidRPr="00A12FF2" w:rsidRDefault="002166F4" w:rsidP="00A12FF2">
      <w:pPr>
        <w:pStyle w:val="BodyText"/>
        <w:keepNext/>
      </w:pPr>
      <w:r w:rsidRPr="00A12FF2">
        <w:t>The support we provide to our customers can be grouped into:</w:t>
      </w:r>
    </w:p>
    <w:p w14:paraId="5CC56C20" w14:textId="77777777" w:rsidR="002166F4" w:rsidRPr="002166F4" w:rsidRDefault="002166F4" w:rsidP="00A12FF2">
      <w:pPr>
        <w:pStyle w:val="Heading4"/>
      </w:pPr>
      <w:r w:rsidRPr="002166F4">
        <w:t>In-home support</w:t>
      </w:r>
    </w:p>
    <w:p w14:paraId="3E07DE45" w14:textId="2633064D" w:rsidR="002166F4" w:rsidRDefault="002166F4" w:rsidP="002166F4">
      <w:pPr>
        <w:pStyle w:val="BodyText"/>
      </w:pPr>
      <w:r>
        <w:t>We all want to live in our own home, to feel safe, cared for and well in our home and connected to people who matter to us.</w:t>
      </w:r>
    </w:p>
    <w:p w14:paraId="4EE6CC7D" w14:textId="77777777" w:rsidR="002166F4" w:rsidRPr="002166F4" w:rsidRDefault="002166F4" w:rsidP="002166F4">
      <w:pPr>
        <w:pStyle w:val="Heading4"/>
      </w:pPr>
      <w:r w:rsidRPr="002166F4">
        <w:t>Recovery support</w:t>
      </w:r>
    </w:p>
    <w:p w14:paraId="073FC5EF" w14:textId="77777777" w:rsidR="002166F4" w:rsidRDefault="002166F4" w:rsidP="002166F4">
      <w:pPr>
        <w:pStyle w:val="BodyText"/>
      </w:pPr>
      <w:r>
        <w:t xml:space="preserve">All of us experience times when life throws us challenges that can knock us off course and we </w:t>
      </w:r>
    </w:p>
    <w:p w14:paraId="3499123B" w14:textId="77777777" w:rsidR="002166F4" w:rsidRDefault="002166F4" w:rsidP="002166F4">
      <w:pPr>
        <w:pStyle w:val="BodyText"/>
      </w:pPr>
      <w:r>
        <w:t>need some help to reclaim and rebuild our lives.</w:t>
      </w:r>
    </w:p>
    <w:p w14:paraId="6F5D21F2" w14:textId="77777777" w:rsidR="002166F4" w:rsidRPr="002166F4" w:rsidRDefault="002166F4" w:rsidP="002166F4">
      <w:pPr>
        <w:pStyle w:val="Heading4"/>
      </w:pPr>
      <w:r w:rsidRPr="002166F4">
        <w:t>Community support</w:t>
      </w:r>
    </w:p>
    <w:p w14:paraId="190CF5CB" w14:textId="0E858826" w:rsidR="002166F4" w:rsidRDefault="002166F4" w:rsidP="002166F4">
      <w:pPr>
        <w:pStyle w:val="BodyText"/>
      </w:pPr>
      <w:r>
        <w:t xml:space="preserve">Being connected and involved in our community gives our lives meaning. We support people, at all stages of their lives, to </w:t>
      </w:r>
      <w:proofErr w:type="gramStart"/>
      <w:r>
        <w:t>be connected with</w:t>
      </w:r>
      <w:proofErr w:type="gramEnd"/>
      <w:r>
        <w:t xml:space="preserve"> people and places that are important to them.</w:t>
      </w:r>
    </w:p>
    <w:p w14:paraId="213E2F6F" w14:textId="77777777" w:rsidR="002166F4" w:rsidRPr="002166F4" w:rsidRDefault="002166F4" w:rsidP="002166F4">
      <w:pPr>
        <w:pStyle w:val="Heading4"/>
      </w:pPr>
      <w:r w:rsidRPr="002166F4">
        <w:t>Support for families and carers</w:t>
      </w:r>
    </w:p>
    <w:p w14:paraId="69AE8220" w14:textId="55F0FBA3" w:rsidR="002166F4" w:rsidRDefault="002166F4" w:rsidP="002166F4">
      <w:pPr>
        <w:pStyle w:val="BodyText"/>
      </w:pPr>
      <w:r>
        <w:t>We support families and carers by providing a range of responsive and flexible services aimed at building capacity and assisting them in their caring roles. We know that self-care and wellness planning is integral to maintaining a caring role</w:t>
      </w:r>
      <w:r>
        <w:t>.</w:t>
      </w:r>
    </w:p>
    <w:p w14:paraId="66C2E66E" w14:textId="77777777" w:rsidR="002166F4" w:rsidRPr="002166F4" w:rsidRDefault="002166F4" w:rsidP="002166F4">
      <w:pPr>
        <w:pStyle w:val="Heading4"/>
        <w:rPr>
          <w:b/>
        </w:rPr>
      </w:pPr>
      <w:r w:rsidRPr="002166F4">
        <w:rPr>
          <w:b/>
        </w:rPr>
        <w:t xml:space="preserve">Practice support </w:t>
      </w:r>
    </w:p>
    <w:p w14:paraId="2A7209E8" w14:textId="5E0EFDE0" w:rsidR="002166F4" w:rsidRPr="002166F4" w:rsidRDefault="002166F4" w:rsidP="002166F4">
      <w:pPr>
        <w:pStyle w:val="BodyText"/>
      </w:pPr>
      <w:r>
        <w:t>Over the last year we have invested in positive behaviour support and mental health practice. This allows us to better support behavioural or mental health challenges that our customers may experience.</w:t>
      </w:r>
    </w:p>
    <w:p w14:paraId="2742E885" w14:textId="3141A7E2" w:rsidR="002166F4" w:rsidRDefault="002166F4">
      <w:pPr>
        <w:spacing w:after="160" w:line="259" w:lineRule="auto"/>
        <w:rPr>
          <w:color w:val="231F20" w:themeColor="text2"/>
        </w:rPr>
      </w:pPr>
      <w:r>
        <w:br w:type="page"/>
      </w:r>
    </w:p>
    <w:p w14:paraId="004A2849" w14:textId="6F0CB3DD" w:rsidR="008476B0" w:rsidRDefault="008476B0" w:rsidP="008476B0">
      <w:pPr>
        <w:pStyle w:val="Heading2"/>
      </w:pPr>
      <w:bookmarkStart w:id="4" w:name="_Toc87270058"/>
      <w:r w:rsidRPr="008476B0">
        <w:lastRenderedPageBreak/>
        <w:t>Optimistic</w:t>
      </w:r>
      <w:bookmarkEnd w:id="4"/>
    </w:p>
    <w:p w14:paraId="3ED25C7F" w14:textId="07987EEE" w:rsidR="00D719A6" w:rsidRDefault="002166F4" w:rsidP="002166F4">
      <w:pPr>
        <w:pStyle w:val="BodyText"/>
      </w:pPr>
      <w:r>
        <w:t>Angus Buchanan</w:t>
      </w:r>
      <w:r>
        <w:br/>
        <w:t>Board Chair</w:t>
      </w:r>
    </w:p>
    <w:p w14:paraId="6EFB8A6D" w14:textId="77777777" w:rsidR="002166F4" w:rsidRDefault="002166F4" w:rsidP="002166F4">
      <w:pPr>
        <w:pStyle w:val="BodyText"/>
      </w:pPr>
      <w:r>
        <w:t xml:space="preserve">This year, despite the challenges we faced as part of the global COVID-19 pandemic, we have continued to work together to achieve our strategic goals. </w:t>
      </w:r>
    </w:p>
    <w:p w14:paraId="42FA72A1" w14:textId="77777777" w:rsidR="002166F4" w:rsidRDefault="002166F4" w:rsidP="002166F4">
      <w:pPr>
        <w:pStyle w:val="BodyText"/>
      </w:pPr>
      <w:r>
        <w:t xml:space="preserve">The biggest and most prominent of these was achieving one hundred community-based teams, bringing to fruition over five years of planning and hard work. </w:t>
      </w:r>
    </w:p>
    <w:p w14:paraId="1D0C6E38" w14:textId="77777777" w:rsidR="002166F4" w:rsidRDefault="002166F4" w:rsidP="002166F4">
      <w:pPr>
        <w:pStyle w:val="BodyText"/>
      </w:pPr>
      <w:r>
        <w:t xml:space="preserve">In the last financial year, </w:t>
      </w:r>
      <w:proofErr w:type="spellStart"/>
      <w:r>
        <w:t>JobKeeper</w:t>
      </w:r>
      <w:proofErr w:type="spellEnd"/>
      <w:r>
        <w:t xml:space="preserve"> helped us to keep our financial losses to a minimum, but the transition to NDIS continues to challenge us to further refine our processes and systems. </w:t>
      </w:r>
    </w:p>
    <w:p w14:paraId="00ED2B1F" w14:textId="77777777" w:rsidR="002166F4" w:rsidRDefault="002166F4" w:rsidP="002166F4">
      <w:pPr>
        <w:pStyle w:val="BodyText"/>
      </w:pPr>
      <w:r>
        <w:t>And whilst we do not want to diminish our whole-hearted approach to supporting customers, this coming year we will need to apply ourselves even further to this pursuit.</w:t>
      </w:r>
    </w:p>
    <w:p w14:paraId="259BF065" w14:textId="77777777" w:rsidR="002166F4" w:rsidRDefault="002166F4" w:rsidP="002166F4">
      <w:pPr>
        <w:pStyle w:val="BodyText"/>
      </w:pPr>
      <w:r>
        <w:t xml:space="preserve">Our technology systems continued to be upgraded and adjusted to meet our growing needs. We saw an even greater uptake of MS Teams both as a meeting place and a repository for shared documents. </w:t>
      </w:r>
    </w:p>
    <w:p w14:paraId="6A622C01" w14:textId="77777777" w:rsidR="002166F4" w:rsidRDefault="002166F4" w:rsidP="002166F4">
      <w:pPr>
        <w:pStyle w:val="BodyText"/>
      </w:pPr>
      <w:r>
        <w:t xml:space="preserve">Our learning and development platform, </w:t>
      </w:r>
      <w:proofErr w:type="spellStart"/>
      <w:r>
        <w:t>MyLearn</w:t>
      </w:r>
      <w:proofErr w:type="spellEnd"/>
      <w:r>
        <w:t xml:space="preserve"> enabled hundreds of training sessions to be conducted remotely and the launch of our internal communications network, </w:t>
      </w:r>
      <w:proofErr w:type="spellStart"/>
      <w:r>
        <w:t>Connectus</w:t>
      </w:r>
      <w:proofErr w:type="spellEnd"/>
      <w:r>
        <w:t>, brought us even closer to support workers who are out in the community each day.</w:t>
      </w:r>
    </w:p>
    <w:p w14:paraId="533F1B7C" w14:textId="77777777" w:rsidR="002166F4" w:rsidRDefault="002166F4" w:rsidP="002166F4">
      <w:pPr>
        <w:pStyle w:val="BodyText"/>
      </w:pPr>
      <w:r>
        <w:t xml:space="preserve">In a continued commitment to diversity in the workplace, we engaged two new Disability Employment Officers and an Indigenous Employment Officer to help us employ a more diverse workforce. </w:t>
      </w:r>
    </w:p>
    <w:p w14:paraId="391E16FD" w14:textId="004A9481" w:rsidR="002166F4" w:rsidRDefault="002166F4" w:rsidP="002166F4">
      <w:pPr>
        <w:pStyle w:val="BodyText"/>
      </w:pPr>
      <w:r>
        <w:t xml:space="preserve">The sector saw a downturn in applicants over the last year. This was strongly reflected in our applicant numbers for available positions – with a 50% decrease in numbers compared to the last financial year. </w:t>
      </w:r>
    </w:p>
    <w:p w14:paraId="5264CA37" w14:textId="77777777" w:rsidR="002166F4" w:rsidRDefault="002166F4" w:rsidP="002166F4">
      <w:pPr>
        <w:pStyle w:val="BodyText"/>
      </w:pPr>
      <w:r>
        <w:t>There are a variety of factors that could be influencing this trend and we are looking to address as many as possible in the coming year. This will involve some targeted attraction and retention strategies for employees.</w:t>
      </w:r>
    </w:p>
    <w:p w14:paraId="7FAE85CE" w14:textId="77777777" w:rsidR="002166F4" w:rsidRDefault="002166F4" w:rsidP="002166F4">
      <w:pPr>
        <w:pStyle w:val="BodyText"/>
      </w:pPr>
      <w:r>
        <w:t xml:space="preserve">Another significant focus last year and this year is seeking accreditation against the National Mental Health Standards and the NDIS Practice Standards. </w:t>
      </w:r>
    </w:p>
    <w:p w14:paraId="65502A44" w14:textId="77777777" w:rsidR="002166F4" w:rsidRDefault="002166F4" w:rsidP="002166F4">
      <w:pPr>
        <w:pStyle w:val="BodyText"/>
      </w:pPr>
      <w:r>
        <w:t>Moving forward, we are working to refresh our vision and strategic direction. Work will continue in the coming months and will reflect on where we have come from and where we are headed</w:t>
      </w:r>
      <w:proofErr w:type="gramStart"/>
      <w:r>
        <w:t xml:space="preserve">.  </w:t>
      </w:r>
      <w:proofErr w:type="gramEnd"/>
    </w:p>
    <w:p w14:paraId="651CAFF6" w14:textId="6ADC0D01" w:rsidR="002166F4" w:rsidRDefault="002166F4" w:rsidP="002166F4">
      <w:pPr>
        <w:pStyle w:val="BodyText"/>
      </w:pPr>
      <w:r>
        <w:t xml:space="preserve">I would like to acknowledge and say thank you to our CEO Rosie Lawn and her Executive team for their continued leadership over the last 12 months. </w:t>
      </w:r>
    </w:p>
    <w:p w14:paraId="189765EF" w14:textId="77777777" w:rsidR="002166F4" w:rsidRDefault="002166F4" w:rsidP="002166F4">
      <w:pPr>
        <w:pStyle w:val="BodyText"/>
      </w:pPr>
      <w:r>
        <w:t xml:space="preserve">I would also like to thank every other employee in </w:t>
      </w:r>
      <w:proofErr w:type="spellStart"/>
      <w:r>
        <w:t>Avivo</w:t>
      </w:r>
      <w:proofErr w:type="spellEnd"/>
      <w:r>
        <w:t xml:space="preserve"> for their commitment and dedication. </w:t>
      </w:r>
    </w:p>
    <w:p w14:paraId="217942DD" w14:textId="032E3514" w:rsidR="00D719A6" w:rsidRDefault="002166F4" w:rsidP="002166F4">
      <w:pPr>
        <w:pStyle w:val="BodyText"/>
      </w:pPr>
      <w:r>
        <w:t>Finally, I would like to say thanks to my fellow Directors for all their commitment and work.</w:t>
      </w:r>
    </w:p>
    <w:p w14:paraId="6E88767A" w14:textId="77777777" w:rsidR="002166F4" w:rsidRDefault="002166F4" w:rsidP="002166F4">
      <w:pPr>
        <w:pStyle w:val="Quote"/>
      </w:pPr>
      <w:r>
        <w:t>I would like to thank every employee in Avivo for their commitment and dedication.</w:t>
      </w:r>
    </w:p>
    <w:p w14:paraId="638B5602" w14:textId="736F6D68" w:rsidR="008476B0" w:rsidRPr="008476B0" w:rsidRDefault="002166F4" w:rsidP="008476B0">
      <w:pPr>
        <w:pStyle w:val="BodyText"/>
      </w:pPr>
      <w:r w:rsidRPr="002166F4">
        <w:rPr>
          <w:i/>
          <w:iCs/>
        </w:rPr>
        <w:t xml:space="preserve">If you're keen to find out more about the </w:t>
      </w:r>
      <w:proofErr w:type="spellStart"/>
      <w:r w:rsidRPr="002166F4">
        <w:rPr>
          <w:i/>
          <w:iCs/>
        </w:rPr>
        <w:t>Avivo</w:t>
      </w:r>
      <w:proofErr w:type="spellEnd"/>
      <w:r w:rsidRPr="002166F4">
        <w:rPr>
          <w:i/>
          <w:iCs/>
        </w:rPr>
        <w:t xml:space="preserve"> Board, visit </w:t>
      </w:r>
      <w:hyperlink r:id="rId13" w:history="1">
        <w:r w:rsidRPr="002166F4">
          <w:rPr>
            <w:rStyle w:val="Hyperlink"/>
            <w:i/>
            <w:iCs/>
          </w:rPr>
          <w:t>www.avivo.org.au/inside-avivo/our-board</w:t>
        </w:r>
      </w:hyperlink>
      <w:r w:rsidR="008476B0" w:rsidRPr="008476B0">
        <w:br w:type="page"/>
      </w:r>
    </w:p>
    <w:p w14:paraId="5A6E4428" w14:textId="14C51117" w:rsidR="008476B0" w:rsidRDefault="008476B0" w:rsidP="00D92A75">
      <w:pPr>
        <w:pStyle w:val="Heading2"/>
        <w:spacing w:after="0"/>
        <w:rPr>
          <w:noProof/>
        </w:rPr>
      </w:pPr>
      <w:bookmarkStart w:id="5" w:name="_Toc87270059"/>
      <w:r>
        <w:rPr>
          <w:noProof/>
        </w:rPr>
        <w:lastRenderedPageBreak/>
        <w:t>Creative</w:t>
      </w:r>
      <w:bookmarkEnd w:id="5"/>
    </w:p>
    <w:p w14:paraId="672D5ED1" w14:textId="50D5F61D" w:rsidR="008476B0" w:rsidRDefault="00A12FF2" w:rsidP="00A12FF2">
      <w:pPr>
        <w:pStyle w:val="Heading1"/>
        <w:spacing w:before="0"/>
      </w:pPr>
      <w:bookmarkStart w:id="6" w:name="_Toc87270060"/>
      <w:r w:rsidRPr="00A12FF2">
        <w:t>Thinking outside the box</w:t>
      </w:r>
      <w:bookmarkEnd w:id="6"/>
    </w:p>
    <w:p w14:paraId="60C31B2F" w14:textId="163247F0" w:rsidR="00A12FF2" w:rsidRPr="00EA6658" w:rsidRDefault="00A12FF2" w:rsidP="00EA6658">
      <w:pPr>
        <w:pStyle w:val="Heading5"/>
      </w:pPr>
      <w:proofErr w:type="spellStart"/>
      <w:r>
        <w:t>ICLS</w:t>
      </w:r>
      <w:proofErr w:type="spellEnd"/>
    </w:p>
    <w:p w14:paraId="37F6C67F" w14:textId="77777777" w:rsidR="00A12FF2" w:rsidRPr="00A12FF2" w:rsidRDefault="00A12FF2" w:rsidP="00A12FF2">
      <w:pPr>
        <w:pStyle w:val="BodyText"/>
        <w:rPr>
          <w:b/>
          <w:bCs/>
        </w:rPr>
      </w:pPr>
      <w:proofErr w:type="spellStart"/>
      <w:r w:rsidRPr="00A12FF2">
        <w:rPr>
          <w:b/>
          <w:bCs/>
        </w:rPr>
        <w:t>Avivo’s</w:t>
      </w:r>
      <w:proofErr w:type="spellEnd"/>
      <w:r w:rsidRPr="00A12FF2">
        <w:rPr>
          <w:b/>
          <w:bCs/>
        </w:rPr>
        <w:t xml:space="preserve"> Individualised Community Living Service (</w:t>
      </w:r>
      <w:proofErr w:type="spellStart"/>
      <w:r w:rsidRPr="00A12FF2">
        <w:rPr>
          <w:b/>
          <w:bCs/>
        </w:rPr>
        <w:t>ICLS</w:t>
      </w:r>
      <w:proofErr w:type="spellEnd"/>
      <w:r w:rsidRPr="00A12FF2">
        <w:rPr>
          <w:b/>
          <w:bCs/>
        </w:rPr>
        <w:t xml:space="preserve">) team works with vulnerable individuals who are living with complex mental ill health in the community. </w:t>
      </w:r>
    </w:p>
    <w:p w14:paraId="1129C99C" w14:textId="77777777" w:rsidR="00A12FF2" w:rsidRDefault="00A12FF2" w:rsidP="00A12FF2">
      <w:pPr>
        <w:pStyle w:val="BodyText"/>
      </w:pPr>
      <w:r>
        <w:t xml:space="preserve">In the early days of the COVID-19 pandemic, whilst many people were concerned about the physical impacts of the virus, it became increasingly obvious to the </w:t>
      </w:r>
      <w:proofErr w:type="spellStart"/>
      <w:r>
        <w:t>ICLS</w:t>
      </w:r>
      <w:proofErr w:type="spellEnd"/>
      <w:r>
        <w:t xml:space="preserve"> team that mental health challenges would be as distressing, if not more so, for their customers.</w:t>
      </w:r>
    </w:p>
    <w:p w14:paraId="0B28267D" w14:textId="77777777" w:rsidR="00A12FF2" w:rsidRDefault="00A12FF2" w:rsidP="00A12FF2">
      <w:pPr>
        <w:pStyle w:val="BodyText"/>
      </w:pPr>
      <w:r>
        <w:t>Given the limitations of lockdowns, the team had to ‘think outside the box’ and get creative about how they would provide support.</w:t>
      </w:r>
    </w:p>
    <w:p w14:paraId="1E594175" w14:textId="77777777" w:rsidR="00A12FF2" w:rsidRDefault="00A12FF2" w:rsidP="00A12FF2">
      <w:pPr>
        <w:pStyle w:val="BodyText"/>
      </w:pPr>
      <w:r>
        <w:t>They wanted to support their customers to feel connected, even when they couldn’t meet face-to-face.</w:t>
      </w:r>
    </w:p>
    <w:p w14:paraId="6130FA3F" w14:textId="77777777" w:rsidR="00A12FF2" w:rsidRDefault="00A12FF2" w:rsidP="00A12FF2">
      <w:pPr>
        <w:pStyle w:val="BodyText"/>
      </w:pPr>
      <w:r>
        <w:t xml:space="preserve">When in-person visits became impossible, the team encouraged their customers to use social media platforms, talk on the phone or keep in contact through email – whatever would work </w:t>
      </w:r>
    </w:p>
    <w:p w14:paraId="2EFD2D70" w14:textId="77777777" w:rsidR="00A12FF2" w:rsidRDefault="00A12FF2" w:rsidP="00A12FF2">
      <w:pPr>
        <w:pStyle w:val="BodyText"/>
      </w:pPr>
      <w:r>
        <w:t xml:space="preserve">for them and their individual needs. </w:t>
      </w:r>
    </w:p>
    <w:p w14:paraId="41C4E067" w14:textId="77777777" w:rsidR="00A12FF2" w:rsidRDefault="00A12FF2" w:rsidP="00A12FF2">
      <w:pPr>
        <w:pStyle w:val="BodyText"/>
      </w:pPr>
      <w:r>
        <w:t>They encouraged customers to share their challenges and hopes for the future and promoted access to information via reputable sources, which really helped people to manage their anxiety levels.</w:t>
      </w:r>
    </w:p>
    <w:p w14:paraId="38E1AA88" w14:textId="77777777" w:rsidR="00A12FF2" w:rsidRDefault="00A12FF2" w:rsidP="00A12FF2">
      <w:pPr>
        <w:pStyle w:val="BodyText"/>
      </w:pPr>
      <w:r>
        <w:t xml:space="preserve">They were also able to provide some 'wellness kits' thanks to the flexibility of the Mental Health Commission funding. We purchased art and mindfulness equipment that people used to take care of themselves in their own time. </w:t>
      </w:r>
    </w:p>
    <w:p w14:paraId="7DE333D5" w14:textId="459758EE" w:rsidR="00A12FF2" w:rsidRDefault="00A12FF2" w:rsidP="00A12FF2">
      <w:pPr>
        <w:pStyle w:val="BodyText"/>
      </w:pPr>
      <w:r>
        <w:t xml:space="preserve">The team also got creative with virtual supports across different platforms which proved interesting and fun for many. </w:t>
      </w:r>
    </w:p>
    <w:p w14:paraId="307F059F" w14:textId="10486D57" w:rsidR="008476B0" w:rsidRDefault="00A12FF2" w:rsidP="00A12FF2">
      <w:pPr>
        <w:pStyle w:val="BodyText"/>
      </w:pPr>
      <w:r>
        <w:t>This included some online gaming, sharing of recipe ideas and a bit of online exercise. Some of these activities proved more popular than others!</w:t>
      </w:r>
    </w:p>
    <w:p w14:paraId="35535C35" w14:textId="77777777" w:rsidR="00A12FF2" w:rsidRPr="00A12FF2" w:rsidRDefault="00A12FF2" w:rsidP="00A12FF2">
      <w:pPr>
        <w:pStyle w:val="CalloutText"/>
        <w:rPr>
          <w:lang w:val="en-US"/>
        </w:rPr>
      </w:pPr>
      <w:r w:rsidRPr="00A12FF2">
        <w:rPr>
          <w:lang w:val="en-US"/>
        </w:rPr>
        <w:t>We are learning that social connection is as important as work connection –colleagues together face to face, having fun!</w:t>
      </w:r>
    </w:p>
    <w:p w14:paraId="0F2DB883" w14:textId="77777777" w:rsidR="00D92A75" w:rsidRPr="00D92A75" w:rsidRDefault="00D92A75" w:rsidP="00D92A75">
      <w:pPr>
        <w:pStyle w:val="BodyText"/>
      </w:pPr>
      <w:r w:rsidRPr="00D92A75">
        <w:br w:type="page"/>
      </w:r>
    </w:p>
    <w:p w14:paraId="7A4F3CA1" w14:textId="58CB6D52" w:rsidR="008476B0" w:rsidRDefault="00D92A75" w:rsidP="00D92A75">
      <w:pPr>
        <w:pStyle w:val="Heading1"/>
      </w:pPr>
      <w:bookmarkStart w:id="7" w:name="_Toc87270061"/>
      <w:r w:rsidRPr="00D92A75">
        <w:lastRenderedPageBreak/>
        <w:t>How we're organised</w:t>
      </w:r>
      <w:bookmarkEnd w:id="7"/>
    </w:p>
    <w:p w14:paraId="442E47E9" w14:textId="5A3F17DE" w:rsidR="008476B0" w:rsidRDefault="00D92A75" w:rsidP="00D92A75">
      <w:pPr>
        <w:pStyle w:val="CalloutText"/>
      </w:pPr>
      <w:r w:rsidRPr="00D92A75">
        <w:t xml:space="preserve">Our organisational chart represents how </w:t>
      </w:r>
      <w:proofErr w:type="gramStart"/>
      <w:r w:rsidRPr="00D92A75">
        <w:t>all of</w:t>
      </w:r>
      <w:proofErr w:type="gramEnd"/>
      <w:r w:rsidRPr="00D92A75">
        <w:t xml:space="preserve"> the teams in </w:t>
      </w:r>
      <w:proofErr w:type="spellStart"/>
      <w:r w:rsidRPr="00D92A75">
        <w:t>Avivo</w:t>
      </w:r>
      <w:proofErr w:type="spellEnd"/>
      <w:r w:rsidRPr="00D92A75">
        <w:t xml:space="preserve"> work together in a connected and collaborative environment.</w:t>
      </w:r>
    </w:p>
    <w:tbl>
      <w:tblPr>
        <w:tblStyle w:val="LinedTable"/>
        <w:tblW w:w="5000" w:type="pct"/>
        <w:tblLayout w:type="fixed"/>
        <w:tblLook w:val="0620" w:firstRow="1" w:lastRow="0" w:firstColumn="0" w:lastColumn="0" w:noHBand="1" w:noVBand="1"/>
      </w:tblPr>
      <w:tblGrid>
        <w:gridCol w:w="1719"/>
        <w:gridCol w:w="1720"/>
        <w:gridCol w:w="1720"/>
        <w:gridCol w:w="1929"/>
        <w:gridCol w:w="1559"/>
        <w:gridCol w:w="1671"/>
      </w:tblGrid>
      <w:tr w:rsidR="00D92A75" w:rsidRPr="00D92A75" w14:paraId="63534EC3" w14:textId="77777777" w:rsidTr="00D92A75">
        <w:trPr>
          <w:cnfStyle w:val="100000000000" w:firstRow="1" w:lastRow="0" w:firstColumn="0" w:lastColumn="0" w:oddVBand="0" w:evenVBand="0" w:oddHBand="0" w:evenHBand="0" w:firstRowFirstColumn="0" w:firstRowLastColumn="0" w:lastRowFirstColumn="0" w:lastRowLastColumn="0"/>
          <w:cantSplit/>
        </w:trPr>
        <w:tc>
          <w:tcPr>
            <w:tcW w:w="1719" w:type="dxa"/>
          </w:tcPr>
          <w:p w14:paraId="56E4396C" w14:textId="77777777" w:rsidR="00D92A75" w:rsidRPr="00D92A75" w:rsidRDefault="00D92A75" w:rsidP="00D92A75">
            <w:pPr>
              <w:pStyle w:val="TableHeading"/>
              <w:ind w:left="0"/>
            </w:pPr>
            <w:r w:rsidRPr="00D92A75">
              <w:t>Customers &amp; Communities</w:t>
            </w:r>
          </w:p>
        </w:tc>
        <w:tc>
          <w:tcPr>
            <w:tcW w:w="1720" w:type="dxa"/>
          </w:tcPr>
          <w:p w14:paraId="0C7BCAD1" w14:textId="77777777" w:rsidR="00D92A75" w:rsidRPr="00D92A75" w:rsidRDefault="00D92A75" w:rsidP="00D92A75">
            <w:pPr>
              <w:pStyle w:val="TableHeading"/>
            </w:pPr>
            <w:r w:rsidRPr="00D92A75">
              <w:t>Community Teams</w:t>
            </w:r>
          </w:p>
        </w:tc>
        <w:tc>
          <w:tcPr>
            <w:tcW w:w="1720" w:type="dxa"/>
          </w:tcPr>
          <w:p w14:paraId="04205A98" w14:textId="77777777" w:rsidR="00D92A75" w:rsidRPr="00D92A75" w:rsidRDefault="00D92A75" w:rsidP="00D92A75">
            <w:pPr>
              <w:pStyle w:val="TableHeading"/>
            </w:pPr>
            <w:r w:rsidRPr="00D92A75">
              <w:t>Community Coordination Teams</w:t>
            </w:r>
          </w:p>
        </w:tc>
        <w:tc>
          <w:tcPr>
            <w:tcW w:w="1929" w:type="dxa"/>
          </w:tcPr>
          <w:p w14:paraId="68402234" w14:textId="77777777" w:rsidR="00D92A75" w:rsidRPr="00D92A75" w:rsidRDefault="00D92A75" w:rsidP="00D92A75">
            <w:pPr>
              <w:pStyle w:val="TableHeading"/>
            </w:pPr>
            <w:r w:rsidRPr="00D92A75">
              <w:t>Community Services Support Teams</w:t>
            </w:r>
          </w:p>
        </w:tc>
        <w:tc>
          <w:tcPr>
            <w:tcW w:w="1559" w:type="dxa"/>
          </w:tcPr>
          <w:p w14:paraId="7F6D0C70" w14:textId="1BF76F0F" w:rsidR="00D92A75" w:rsidRPr="00D92A75" w:rsidRDefault="00D92A75" w:rsidP="00D92A75">
            <w:pPr>
              <w:pStyle w:val="TableHeading"/>
            </w:pPr>
            <w:r w:rsidRPr="00D92A75">
              <w:t>Business Support Teams</w:t>
            </w:r>
          </w:p>
        </w:tc>
        <w:tc>
          <w:tcPr>
            <w:tcW w:w="1671" w:type="dxa"/>
          </w:tcPr>
          <w:p w14:paraId="158325F1" w14:textId="0770F922" w:rsidR="00D92A75" w:rsidRPr="00D92A75" w:rsidRDefault="00D92A75" w:rsidP="00D92A75">
            <w:pPr>
              <w:pStyle w:val="TableHeading"/>
              <w:ind w:right="0"/>
            </w:pPr>
            <w:r w:rsidRPr="00D92A75">
              <w:t>Board and Executive</w:t>
            </w:r>
            <w:r>
              <w:t xml:space="preserve"> </w:t>
            </w:r>
            <w:r w:rsidRPr="00D92A75">
              <w:t>Teams</w:t>
            </w:r>
          </w:p>
        </w:tc>
      </w:tr>
      <w:tr w:rsidR="00D92A75" w:rsidRPr="00D92A75" w14:paraId="32A63650" w14:textId="77777777" w:rsidTr="00D92A75">
        <w:trPr>
          <w:cantSplit/>
        </w:trPr>
        <w:tc>
          <w:tcPr>
            <w:tcW w:w="1719" w:type="dxa"/>
          </w:tcPr>
          <w:p w14:paraId="0E01823C" w14:textId="7B89603D" w:rsidR="00D92A75" w:rsidRPr="00D92A75" w:rsidRDefault="00D92A75" w:rsidP="00D92A75">
            <w:pPr>
              <w:pStyle w:val="TableText"/>
              <w:ind w:left="0"/>
            </w:pPr>
            <w:r w:rsidRPr="00D92A75">
              <w:t>At the heart of what we do are people who require support due to</w:t>
            </w:r>
            <w:r>
              <w:t> </w:t>
            </w:r>
            <w:r w:rsidRPr="00D92A75">
              <w:t xml:space="preserve">disability, ageing or mental ill-health. </w:t>
            </w:r>
            <w:proofErr w:type="spellStart"/>
            <w:r w:rsidRPr="00D92A75">
              <w:t>Avivo</w:t>
            </w:r>
            <w:proofErr w:type="spellEnd"/>
            <w:r w:rsidRPr="00D92A75">
              <w:t xml:space="preserve"> contributes to a</w:t>
            </w:r>
            <w:r>
              <w:t> </w:t>
            </w:r>
            <w:r w:rsidRPr="00D92A75">
              <w:t>feeling of belonging and a sense of place for people and families by being in and of</w:t>
            </w:r>
            <w:r>
              <w:t> </w:t>
            </w:r>
            <w:r w:rsidRPr="00D92A75">
              <w:t>community.</w:t>
            </w:r>
          </w:p>
        </w:tc>
        <w:tc>
          <w:tcPr>
            <w:tcW w:w="1720" w:type="dxa"/>
          </w:tcPr>
          <w:p w14:paraId="6AEDE0C8" w14:textId="3A809B05" w:rsidR="00D92A75" w:rsidRPr="00D92A75" w:rsidRDefault="00D92A75" w:rsidP="00D92A75">
            <w:pPr>
              <w:pStyle w:val="TableText"/>
              <w:ind w:right="57"/>
            </w:pPr>
            <w:r w:rsidRPr="00D92A75">
              <w:t>Support workers in Neighbourhood Teams and Customer-specific Teams are our frontline colleagues who work in community providing support to people and families.</w:t>
            </w:r>
          </w:p>
        </w:tc>
        <w:tc>
          <w:tcPr>
            <w:tcW w:w="1720" w:type="dxa"/>
          </w:tcPr>
          <w:p w14:paraId="42D54035" w14:textId="77777777" w:rsidR="00D92A75" w:rsidRPr="00D92A75" w:rsidRDefault="00D92A75" w:rsidP="00D92A75">
            <w:pPr>
              <w:pStyle w:val="TableText"/>
            </w:pPr>
            <w:r w:rsidRPr="00D92A75">
              <w:t xml:space="preserve">Both colleague-facing and customer-facing, these teams connect </w:t>
            </w:r>
            <w:proofErr w:type="spellStart"/>
            <w:r w:rsidRPr="00D92A75">
              <w:t>Avivo</w:t>
            </w:r>
            <w:proofErr w:type="spellEnd"/>
            <w:r w:rsidRPr="00D92A75">
              <w:t xml:space="preserve"> to community by coordinating and guiding frontline </w:t>
            </w:r>
            <w:proofErr w:type="gramStart"/>
            <w:r w:rsidRPr="00D92A75">
              <w:t>teams, and</w:t>
            </w:r>
            <w:proofErr w:type="gramEnd"/>
            <w:r w:rsidRPr="00D92A75">
              <w:t xml:space="preserve"> engaging and understanding customers. </w:t>
            </w:r>
          </w:p>
        </w:tc>
        <w:tc>
          <w:tcPr>
            <w:tcW w:w="1929" w:type="dxa"/>
          </w:tcPr>
          <w:p w14:paraId="0A0D0C4C" w14:textId="50E209FA" w:rsidR="00D92A75" w:rsidRPr="00D92A75" w:rsidRDefault="00D92A75" w:rsidP="00D92A75">
            <w:pPr>
              <w:pStyle w:val="TableText"/>
            </w:pPr>
            <w:r w:rsidRPr="00D92A75">
              <w:t xml:space="preserve">Providing our customer-facing teams with the resources, </w:t>
            </w:r>
            <w:proofErr w:type="gramStart"/>
            <w:r w:rsidRPr="00D92A75">
              <w:t>tools</w:t>
            </w:r>
            <w:proofErr w:type="gramEnd"/>
            <w:r w:rsidRPr="00D92A75">
              <w:t xml:space="preserve"> and information they need to</w:t>
            </w:r>
            <w:r>
              <w:t xml:space="preserve"> </w:t>
            </w:r>
            <w:r w:rsidRPr="00D92A75">
              <w:t>do their job</w:t>
            </w:r>
            <w:r>
              <w:t xml:space="preserve"> </w:t>
            </w:r>
            <w:r w:rsidRPr="00D92A75">
              <w:t xml:space="preserve">with confidence and autonomy. Supporting skills development, practice, funding, reporting, </w:t>
            </w:r>
            <w:proofErr w:type="gramStart"/>
            <w:r w:rsidRPr="00D92A75">
              <w:t>quality</w:t>
            </w:r>
            <w:proofErr w:type="gramEnd"/>
            <w:r w:rsidRPr="00D92A75">
              <w:t xml:space="preserve"> and safety.</w:t>
            </w:r>
          </w:p>
        </w:tc>
        <w:tc>
          <w:tcPr>
            <w:tcW w:w="1559" w:type="dxa"/>
          </w:tcPr>
          <w:p w14:paraId="319D6753" w14:textId="77777777" w:rsidR="00D92A75" w:rsidRPr="00D92A75" w:rsidRDefault="00D92A75" w:rsidP="00D92A75">
            <w:pPr>
              <w:pStyle w:val="TableText"/>
            </w:pPr>
            <w:r w:rsidRPr="00D92A75">
              <w:t xml:space="preserve">The teams behind the scenes that ensure </w:t>
            </w:r>
            <w:proofErr w:type="spellStart"/>
            <w:r w:rsidRPr="00D92A75">
              <w:t>Avivo</w:t>
            </w:r>
            <w:proofErr w:type="spellEnd"/>
            <w:r w:rsidRPr="00D92A75">
              <w:t xml:space="preserve"> runs smoothly, with functions, </w:t>
            </w:r>
            <w:proofErr w:type="gramStart"/>
            <w:r w:rsidRPr="00D92A75">
              <w:t>systems</w:t>
            </w:r>
            <w:proofErr w:type="gramEnd"/>
            <w:r w:rsidRPr="00D92A75">
              <w:t xml:space="preserve"> and processes to enable </w:t>
            </w:r>
            <w:proofErr w:type="spellStart"/>
            <w:r w:rsidRPr="00D92A75">
              <w:t>Avivo</w:t>
            </w:r>
            <w:proofErr w:type="spellEnd"/>
            <w:r w:rsidRPr="00D92A75">
              <w:t xml:space="preserve"> to do what we do in the world, well.</w:t>
            </w:r>
          </w:p>
        </w:tc>
        <w:tc>
          <w:tcPr>
            <w:tcW w:w="1671" w:type="dxa"/>
          </w:tcPr>
          <w:p w14:paraId="7E9198F7" w14:textId="14B89F2E" w:rsidR="00D92A75" w:rsidRPr="00D92A75" w:rsidRDefault="00D92A75" w:rsidP="00D92A75">
            <w:pPr>
              <w:pStyle w:val="TableText"/>
              <w:ind w:right="0"/>
            </w:pPr>
            <w:r w:rsidRPr="00D92A75">
              <w:t>Our senior leadership and governance teams influence all parts of the organisation and continue to</w:t>
            </w:r>
            <w:r>
              <w:t> </w:t>
            </w:r>
            <w:r w:rsidRPr="00D92A75">
              <w:t xml:space="preserve">steward </w:t>
            </w:r>
            <w:proofErr w:type="spellStart"/>
            <w:r w:rsidRPr="00D92A75">
              <w:t>Avivo</w:t>
            </w:r>
            <w:proofErr w:type="spellEnd"/>
            <w:r w:rsidRPr="00D92A75">
              <w:t xml:space="preserve"> to deliver on our purpose.</w:t>
            </w:r>
          </w:p>
        </w:tc>
      </w:tr>
    </w:tbl>
    <w:p w14:paraId="49D19283" w14:textId="77777777" w:rsidR="00D92A75" w:rsidRPr="00D92A75" w:rsidRDefault="00D92A75" w:rsidP="00D92A75">
      <w:pPr>
        <w:pStyle w:val="BodyText"/>
      </w:pPr>
      <w:r w:rsidRPr="00D92A75">
        <w:br w:type="page"/>
      </w:r>
    </w:p>
    <w:p w14:paraId="3D1907D1" w14:textId="0B655744" w:rsidR="008476B0" w:rsidRDefault="00D92A75" w:rsidP="00D92A75">
      <w:pPr>
        <w:pStyle w:val="Heading2"/>
        <w:spacing w:after="0"/>
      </w:pPr>
      <w:bookmarkStart w:id="8" w:name="_Toc87270062"/>
      <w:r>
        <w:lastRenderedPageBreak/>
        <w:t>Flexible</w:t>
      </w:r>
      <w:bookmarkEnd w:id="8"/>
    </w:p>
    <w:p w14:paraId="3342CC50" w14:textId="6008937E" w:rsidR="00D92A75" w:rsidRPr="00D92A75" w:rsidRDefault="00D92A75" w:rsidP="00D92A75">
      <w:pPr>
        <w:pStyle w:val="Heading1"/>
        <w:spacing w:before="0"/>
      </w:pPr>
      <w:bookmarkStart w:id="9" w:name="_Toc87270063"/>
      <w:r w:rsidRPr="00D92A75">
        <w:t>Agility during big change</w:t>
      </w:r>
      <w:bookmarkEnd w:id="9"/>
    </w:p>
    <w:p w14:paraId="32ABC2EC" w14:textId="10AA64AA" w:rsidR="008476B0" w:rsidRDefault="00D92A75" w:rsidP="00D92A75">
      <w:pPr>
        <w:pStyle w:val="BodyText"/>
      </w:pPr>
      <w:r>
        <w:t>Lynsey McDonnell</w:t>
      </w:r>
      <w:r>
        <w:br/>
      </w:r>
      <w:r>
        <w:t>CFO</w:t>
      </w:r>
    </w:p>
    <w:p w14:paraId="1BBBC68E" w14:textId="77E126E5" w:rsidR="00D92A75" w:rsidRPr="00D92A75" w:rsidRDefault="00D92A75" w:rsidP="00D92A75">
      <w:pPr>
        <w:pStyle w:val="BodyText"/>
        <w:rPr>
          <w:b/>
          <w:bCs/>
        </w:rPr>
      </w:pPr>
      <w:r w:rsidRPr="00D92A75">
        <w:rPr>
          <w:b/>
          <w:bCs/>
        </w:rPr>
        <w:t xml:space="preserve">Around 20% of </w:t>
      </w:r>
      <w:proofErr w:type="spellStart"/>
      <w:r w:rsidRPr="00D92A75">
        <w:rPr>
          <w:b/>
          <w:bCs/>
        </w:rPr>
        <w:t>Avivo’s</w:t>
      </w:r>
      <w:proofErr w:type="spellEnd"/>
      <w:r w:rsidRPr="00D92A75">
        <w:rPr>
          <w:b/>
          <w:bCs/>
        </w:rPr>
        <w:t xml:space="preserve"> employees have been ‘office-based’ historically. When our offices needed to be closed due to lockdown early in the pandemic, we supported colleagues to pick up what they needed and take it home. </w:t>
      </w:r>
    </w:p>
    <w:p w14:paraId="0DBCF774" w14:textId="77777777" w:rsidR="00D92A75" w:rsidRDefault="00D92A75" w:rsidP="00D92A75">
      <w:pPr>
        <w:pStyle w:val="BodyText"/>
      </w:pPr>
      <w:r>
        <w:t xml:space="preserve">We took home laptops, monitors, chairs, stationery – whatever was necessary to set up as comfortably as possible from home. We became proficient with MS Teams very quickly and became more connected than ever on our team Facebook page. </w:t>
      </w:r>
    </w:p>
    <w:p w14:paraId="256DC3A8" w14:textId="77777777" w:rsidR="00D92A75" w:rsidRDefault="00D92A75" w:rsidP="00D92A75">
      <w:pPr>
        <w:pStyle w:val="BodyText"/>
      </w:pPr>
      <w:r>
        <w:t>Guidelines were developed to support safe working practices and ergonomic workstations at home. Regular virtual ‘stand ups’ were held to ensure we were connecting and supporting each other.</w:t>
      </w:r>
    </w:p>
    <w:p w14:paraId="7EF7C571" w14:textId="77777777" w:rsidR="00D92A75" w:rsidRDefault="00D92A75" w:rsidP="00D92A75">
      <w:pPr>
        <w:pStyle w:val="Heading4"/>
      </w:pPr>
      <w:r>
        <w:t>And then some special things happened:</w:t>
      </w:r>
    </w:p>
    <w:p w14:paraId="025E6FD9" w14:textId="77777777" w:rsidR="00D92A75" w:rsidRDefault="00D92A75" w:rsidP="00D92A75">
      <w:pPr>
        <w:pStyle w:val="ListBullet0"/>
      </w:pPr>
      <w:r>
        <w:t>The line between ‘office-based’ and ‘field-based’ colleagues started to blur. We met online, joining each other’s meetings. We had giant organisation-wide Zoom sessions. Suddenly, we were all ‘of community’.</w:t>
      </w:r>
    </w:p>
    <w:p w14:paraId="7BF58B9B" w14:textId="77777777" w:rsidR="00D92A75" w:rsidRDefault="00D92A75" w:rsidP="00D92A75">
      <w:pPr>
        <w:pStyle w:val="ListBullet0"/>
      </w:pPr>
      <w:r>
        <w:t xml:space="preserve">Our connections across the whole of </w:t>
      </w:r>
      <w:proofErr w:type="spellStart"/>
      <w:r>
        <w:t>Avivo</w:t>
      </w:r>
      <w:proofErr w:type="spellEnd"/>
      <w:r>
        <w:t xml:space="preserve"> were strengthened, particularly with our colleagues in regional and remote parts of Western Australia.</w:t>
      </w:r>
    </w:p>
    <w:p w14:paraId="15F9A6DC" w14:textId="77777777" w:rsidR="00D92A75" w:rsidRDefault="00D92A75" w:rsidP="00D92A75">
      <w:pPr>
        <w:pStyle w:val="ListBullet0"/>
      </w:pPr>
      <w:r>
        <w:t>The trust grew. Colleagues needed to adapt their hours around their family commitments, and they weren’t visible to each other in the office. The work still got done and we remained committed to our customers and each other.</w:t>
      </w:r>
    </w:p>
    <w:p w14:paraId="2582FF8B" w14:textId="77777777" w:rsidR="00D92A75" w:rsidRDefault="00D92A75" w:rsidP="00D92A75">
      <w:pPr>
        <w:pStyle w:val="BodyText"/>
      </w:pPr>
      <w:r>
        <w:t xml:space="preserve">When the time came that we could return to the office, we decided to ask the question </w:t>
      </w:r>
      <w:r w:rsidRPr="00D92A75">
        <w:rPr>
          <w:i/>
          <w:iCs/>
        </w:rPr>
        <w:t>‘Why?’</w:t>
      </w:r>
      <w:r>
        <w:t xml:space="preserve">. </w:t>
      </w:r>
    </w:p>
    <w:p w14:paraId="2D924520" w14:textId="77777777" w:rsidR="00D92A75" w:rsidRDefault="00D92A75" w:rsidP="00D92A75">
      <w:pPr>
        <w:pStyle w:val="BodyText"/>
      </w:pPr>
      <w:r>
        <w:t xml:space="preserve">Why undo all those benefits we had realised? </w:t>
      </w:r>
    </w:p>
    <w:p w14:paraId="5F7296FE" w14:textId="77777777" w:rsidR="00D92A75" w:rsidRDefault="00D92A75" w:rsidP="00D92A75">
      <w:pPr>
        <w:pStyle w:val="Heading4"/>
      </w:pPr>
      <w:r>
        <w:t>So, we didn’t.</w:t>
      </w:r>
    </w:p>
    <w:p w14:paraId="4A177B38" w14:textId="77777777" w:rsidR="00D92A75" w:rsidRDefault="00D92A75" w:rsidP="00D92A75">
      <w:pPr>
        <w:pStyle w:val="BodyText"/>
      </w:pPr>
      <w:r>
        <w:t xml:space="preserve">Instead, we agreed as an organisation that we would continue working flexibly. </w:t>
      </w:r>
    </w:p>
    <w:p w14:paraId="01DEF13C" w14:textId="77777777" w:rsidR="00D92A75" w:rsidRDefault="00D92A75" w:rsidP="00D92A75">
      <w:pPr>
        <w:pStyle w:val="BodyText"/>
      </w:pPr>
      <w:r>
        <w:t xml:space="preserve">We still use our offices, and we still value face-to-face connection, but we also value working at home with less interruptions, less long commutes, and more connection with colleagues from all over WA. </w:t>
      </w:r>
    </w:p>
    <w:p w14:paraId="73E47B76" w14:textId="06DD7180" w:rsidR="00D92A75" w:rsidRDefault="00D92A75" w:rsidP="00D92A75">
      <w:pPr>
        <w:pStyle w:val="BodyText"/>
      </w:pPr>
      <w:r>
        <w:t xml:space="preserve">This flexible approach is here to stay for </w:t>
      </w:r>
      <w:proofErr w:type="spellStart"/>
      <w:r>
        <w:t>Avivo</w:t>
      </w:r>
      <w:proofErr w:type="spellEnd"/>
      <w:r>
        <w:t xml:space="preserve">. We will continue to evolve to meet the needs of our colleagues, </w:t>
      </w:r>
      <w:proofErr w:type="gramStart"/>
      <w:r>
        <w:t>customers</w:t>
      </w:r>
      <w:proofErr w:type="gramEnd"/>
      <w:r>
        <w:t xml:space="preserve"> and community.</w:t>
      </w:r>
    </w:p>
    <w:p w14:paraId="743D7779" w14:textId="2D965D86" w:rsidR="00D92A75" w:rsidRDefault="00D92A75" w:rsidP="00D92A75">
      <w:pPr>
        <w:pStyle w:val="Quote"/>
      </w:pPr>
      <w:r w:rsidRPr="00D92A75">
        <w:t>Suddenly we were all 'of community'.</w:t>
      </w:r>
    </w:p>
    <w:p w14:paraId="5F546C29" w14:textId="61BB1957" w:rsidR="00D92A75" w:rsidRDefault="00D92A75" w:rsidP="00D92A75">
      <w:pPr>
        <w:pStyle w:val="Heading3"/>
      </w:pPr>
      <w:r w:rsidRPr="002166F4">
        <w:lastRenderedPageBreak/>
        <w:drawing>
          <wp:inline distT="0" distB="0" distL="0" distR="0" wp14:anchorId="03E0499B" wp14:editId="4E746107">
            <wp:extent cx="158750" cy="158750"/>
            <wp:effectExtent l="0" t="0" r="0" b="0"/>
            <wp:docPr id="202" name="Picture 2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Picture 231">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59069" cy="159069"/>
                    </a:xfrm>
                    <a:prstGeom prst="rect">
                      <a:avLst/>
                    </a:prstGeom>
                  </pic:spPr>
                </pic:pic>
              </a:graphicData>
            </a:graphic>
          </wp:inline>
        </w:drawing>
      </w:r>
      <w:r w:rsidRPr="002166F4">
        <w:br/>
      </w:r>
      <w:r>
        <w:t>Staying in touch and informed in lockdowns</w:t>
      </w:r>
    </w:p>
    <w:p w14:paraId="44C642C0" w14:textId="77777777" w:rsidR="00D92A75" w:rsidRDefault="00D92A75" w:rsidP="00D92A75">
      <w:pPr>
        <w:pStyle w:val="BodyText"/>
      </w:pPr>
      <w:r>
        <w:t xml:space="preserve">A big learning through the pandemic was the need to have easy ways to contact customers instantly rather than relying on </w:t>
      </w:r>
      <w:proofErr w:type="gramStart"/>
      <w:r>
        <w:t>mail  or</w:t>
      </w:r>
      <w:proofErr w:type="gramEnd"/>
      <w:r>
        <w:t xml:space="preserve"> third party communications.</w:t>
      </w:r>
    </w:p>
    <w:p w14:paraId="04FBA223" w14:textId="77777777" w:rsidR="00D92A75" w:rsidRDefault="00D92A75" w:rsidP="00D92A75">
      <w:pPr>
        <w:pStyle w:val="BodyText"/>
      </w:pPr>
      <w:r>
        <w:t xml:space="preserve">We worked closely with families and carers to ensure our customers were safe and well and had all that was needed when things got chaotic - from early morning shopping services to medication reminders or transportation, where needed. </w:t>
      </w:r>
    </w:p>
    <w:p w14:paraId="1BB65275" w14:textId="4487B8C9" w:rsidR="00D92A75" w:rsidRDefault="00D92A75" w:rsidP="00D92A75">
      <w:pPr>
        <w:pStyle w:val="BodyText"/>
      </w:pPr>
      <w:r>
        <w:t>All supports were carried out using appropriate PPE and strictly adhered to whatever social distancing measures were in place at the time.</w:t>
      </w:r>
    </w:p>
    <w:p w14:paraId="34496D02" w14:textId="77777777" w:rsidR="00D92A75" w:rsidRPr="00D92A75" w:rsidRDefault="00D92A75">
      <w:pPr>
        <w:spacing w:after="160" w:line="259" w:lineRule="auto"/>
      </w:pPr>
      <w:r w:rsidRPr="00D92A75">
        <w:br w:type="page"/>
      </w:r>
    </w:p>
    <w:p w14:paraId="7D891560" w14:textId="6635AD62" w:rsidR="00D92A75" w:rsidRDefault="00D92A75" w:rsidP="00D92A75">
      <w:pPr>
        <w:pStyle w:val="Heading2"/>
        <w:spacing w:after="0"/>
      </w:pPr>
      <w:bookmarkStart w:id="10" w:name="_Toc87270064"/>
      <w:r>
        <w:lastRenderedPageBreak/>
        <w:t>Brave</w:t>
      </w:r>
      <w:bookmarkEnd w:id="10"/>
    </w:p>
    <w:p w14:paraId="68B0801D" w14:textId="77777777" w:rsidR="00D92A75" w:rsidRDefault="00D92A75" w:rsidP="00D92A75">
      <w:pPr>
        <w:pStyle w:val="Heading1"/>
        <w:spacing w:before="0"/>
      </w:pPr>
      <w:bookmarkStart w:id="11" w:name="_Toc87270065"/>
      <w:r>
        <w:t>Courage to do new things</w:t>
      </w:r>
      <w:bookmarkEnd w:id="11"/>
    </w:p>
    <w:p w14:paraId="3F70832C" w14:textId="77777777" w:rsidR="00EA6658" w:rsidRDefault="00EA6658" w:rsidP="00EA6658">
      <w:pPr>
        <w:pStyle w:val="Heading5"/>
      </w:pPr>
      <w:r>
        <w:t xml:space="preserve">Nurse Consultants  </w:t>
      </w:r>
    </w:p>
    <w:p w14:paraId="5A64FD0F" w14:textId="77777777" w:rsidR="00EA6658" w:rsidRPr="00EA6658" w:rsidRDefault="00EA6658" w:rsidP="00EA6658">
      <w:pPr>
        <w:pStyle w:val="BodyText"/>
        <w:rPr>
          <w:b/>
          <w:bCs/>
        </w:rPr>
      </w:pPr>
      <w:r w:rsidRPr="00EA6658">
        <w:rPr>
          <w:b/>
          <w:bCs/>
        </w:rPr>
        <w:t xml:space="preserve">The COVID-19 pandemic brought up a lot of questions about customer vulnerability and challenged us to think about how we provide essential services to people living in the community. </w:t>
      </w:r>
    </w:p>
    <w:p w14:paraId="6F4D0CA0" w14:textId="77777777" w:rsidR="00EA6658" w:rsidRDefault="00EA6658" w:rsidP="00EA6658">
      <w:pPr>
        <w:pStyle w:val="BodyText"/>
      </w:pPr>
      <w:r>
        <w:t xml:space="preserve">Our nurses train and mentor support workers to provide skilled care to customers including medication administration and other care skills. </w:t>
      </w:r>
    </w:p>
    <w:p w14:paraId="79EA50B4" w14:textId="77777777" w:rsidR="00EA6658" w:rsidRDefault="00EA6658" w:rsidP="00EA6658">
      <w:pPr>
        <w:pStyle w:val="BodyText"/>
      </w:pPr>
      <w:r>
        <w:t xml:space="preserve">They also provide direct clinical care, such as changing of gastrostomy tubes, tracheostomy tubes, urinary </w:t>
      </w:r>
      <w:proofErr w:type="gramStart"/>
      <w:r>
        <w:t>catheters</w:t>
      </w:r>
      <w:proofErr w:type="gramEnd"/>
      <w:r>
        <w:t xml:space="preserve"> and ongoing wound care. </w:t>
      </w:r>
    </w:p>
    <w:p w14:paraId="4E99531A" w14:textId="193E5AEB" w:rsidR="00EA6658" w:rsidRDefault="00EA6658" w:rsidP="00EA6658">
      <w:pPr>
        <w:pStyle w:val="BodyText"/>
      </w:pPr>
      <w:r>
        <w:t xml:space="preserve">A number of our customers require regular catheter </w:t>
      </w:r>
      <w:proofErr w:type="gramStart"/>
      <w:r>
        <w:t>changes</w:t>
      </w:r>
      <w:proofErr w:type="gramEnd"/>
      <w:r>
        <w:t xml:space="preserve"> and, in a lockdown or outbreak, they could be forced to attend a hospital and wait up to eight hours to have this need met. In addition, many of these customers were looking to minimise the amount of people coming in and out of their homes to reduce risk of infection. </w:t>
      </w:r>
    </w:p>
    <w:p w14:paraId="4307E67E" w14:textId="08329DF9" w:rsidR="00EA6658" w:rsidRDefault="00EA6658" w:rsidP="00EA6658">
      <w:pPr>
        <w:pStyle w:val="BodyText"/>
      </w:pPr>
      <w:r>
        <w:t xml:space="preserve">This level of risk and inconvenience is unacceptable especially in the COVID climate. We needed to work out new ways of assisting customers with catheter changes. </w:t>
      </w:r>
    </w:p>
    <w:p w14:paraId="21224711" w14:textId="77777777" w:rsidR="00EA6658" w:rsidRDefault="00EA6658" w:rsidP="00EA6658">
      <w:pPr>
        <w:pStyle w:val="BodyText"/>
      </w:pPr>
      <w:r>
        <w:t xml:space="preserve">The nurses also recognised that some of them could be ‘out of action’ during a lockdown or </w:t>
      </w:r>
      <w:proofErr w:type="gramStart"/>
      <w:r>
        <w:t>outbreak  –</w:t>
      </w:r>
      <w:proofErr w:type="gramEnd"/>
      <w:r>
        <w:t xml:space="preserve"> which posed additional risks to our customers who require nursing assistance. </w:t>
      </w:r>
    </w:p>
    <w:p w14:paraId="3B0D221B" w14:textId="2E0786E2" w:rsidR="00EA6658" w:rsidRDefault="00EA6658" w:rsidP="00EA6658">
      <w:pPr>
        <w:pStyle w:val="BodyText"/>
      </w:pPr>
      <w:r>
        <w:t>They had an idea – what if we were to train some support workers to perform this vital service?</w:t>
      </w:r>
    </w:p>
    <w:p w14:paraId="5D9FACC5" w14:textId="18E32091" w:rsidR="00EA6658" w:rsidRDefault="00EA6658" w:rsidP="00EA6658">
      <w:pPr>
        <w:pStyle w:val="BodyText"/>
      </w:pPr>
      <w:r>
        <w:t xml:space="preserve">They knew </w:t>
      </w:r>
      <w:proofErr w:type="spellStart"/>
      <w:r>
        <w:t>Avivo</w:t>
      </w:r>
      <w:proofErr w:type="spellEnd"/>
      <w:r>
        <w:t xml:space="preserve"> already had support workers, like Cheryl Butler from Team Mandurah, who had already been trained and was competent at undertaking catheter changes. They wondered what it would take to train some more people just like her.</w:t>
      </w:r>
    </w:p>
    <w:p w14:paraId="51B3F854" w14:textId="11E27180" w:rsidR="00EA6658" w:rsidRDefault="00EA6658" w:rsidP="00EA6658">
      <w:pPr>
        <w:pStyle w:val="BodyText"/>
      </w:pPr>
      <w:r>
        <w:t>So, they asked customers - would it be acceptable for a competent support worker to do this task if a nurse wasn’t available?</w:t>
      </w:r>
    </w:p>
    <w:p w14:paraId="004A9B8A" w14:textId="37EC03ED" w:rsidR="00EA6658" w:rsidRDefault="00EA6658" w:rsidP="00EA6658">
      <w:pPr>
        <w:pStyle w:val="BodyText"/>
      </w:pPr>
      <w:r>
        <w:t xml:space="preserve">After hearing a resounding ‘yes!’, the nurses set about identifying skilled support workers who they could train and support to undertake catheter changes. More than a dozen </w:t>
      </w:r>
      <w:proofErr w:type="gramStart"/>
      <w:r>
        <w:t>committed</w:t>
      </w:r>
      <w:proofErr w:type="gramEnd"/>
      <w:r>
        <w:t xml:space="preserve"> and willing support workers rose to the challenge and would eventually become known affectionately as ‘the Catheter Queens’.</w:t>
      </w:r>
    </w:p>
    <w:p w14:paraId="493DBB9F" w14:textId="77777777" w:rsidR="00EA6658" w:rsidRDefault="00EA6658" w:rsidP="00EA6658">
      <w:pPr>
        <w:pStyle w:val="BodyText"/>
      </w:pPr>
      <w:r>
        <w:t xml:space="preserve">The nurses were impressed by how quickly and effectively the support workers learnt the skills and demonstrated competence, knowing that a whole team of support workers are available to </w:t>
      </w:r>
      <w:proofErr w:type="gramStart"/>
      <w:r>
        <w:t>help out</w:t>
      </w:r>
      <w:proofErr w:type="gramEnd"/>
      <w:r>
        <w:t xml:space="preserve">, especially during a lockdown or outbreak situation. Inge Moreland, who works as a Team Facilitator within Team Halls Head, is always keen to increase her specialised care skills. She put her hand up to be trained </w:t>
      </w:r>
      <w:proofErr w:type="gramStart"/>
      <w:r>
        <w:t>so as to</w:t>
      </w:r>
      <w:proofErr w:type="gramEnd"/>
      <w:r>
        <w:t xml:space="preserve"> support a customer with quadriplegia who lives in a remote location. Inge now has the capability to safely change catheters under the supervision of a nurse. </w:t>
      </w:r>
    </w:p>
    <w:p w14:paraId="254738A4" w14:textId="6053AF55" w:rsidR="00D92A75" w:rsidRPr="00D92A75" w:rsidRDefault="00EA6658" w:rsidP="00EA6658">
      <w:pPr>
        <w:pStyle w:val="BodyText"/>
      </w:pPr>
      <w:r>
        <w:t>Our nurses are proud to be part of an organisation that willingly invests in people learning new skills and pioneering new ways of supporting customers to live safe and well at home through a pandemic.</w:t>
      </w:r>
    </w:p>
    <w:p w14:paraId="767DD213" w14:textId="14824C3B" w:rsidR="00D92A75" w:rsidRDefault="00EA6658" w:rsidP="00EA6658">
      <w:pPr>
        <w:pStyle w:val="Quote"/>
      </w:pPr>
      <w:r w:rsidRPr="00EA6658">
        <w:lastRenderedPageBreak/>
        <w:t>We needed new ways of assisting with catheters.</w:t>
      </w:r>
    </w:p>
    <w:p w14:paraId="6255D1BA" w14:textId="46147DF3" w:rsidR="00D92A75" w:rsidRDefault="00EA6658" w:rsidP="00EA6658">
      <w:pPr>
        <w:pStyle w:val="Heading3"/>
      </w:pPr>
      <w:r w:rsidRPr="002166F4">
        <w:drawing>
          <wp:inline distT="0" distB="0" distL="0" distR="0" wp14:anchorId="020FB7AF" wp14:editId="30066C52">
            <wp:extent cx="158750" cy="158750"/>
            <wp:effectExtent l="0" t="0" r="0" b="0"/>
            <wp:docPr id="203" name="Picture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Picture 231">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59069" cy="159069"/>
                    </a:xfrm>
                    <a:prstGeom prst="rect">
                      <a:avLst/>
                    </a:prstGeom>
                  </pic:spPr>
                </pic:pic>
              </a:graphicData>
            </a:graphic>
          </wp:inline>
        </w:drawing>
      </w:r>
      <w:r w:rsidRPr="002166F4">
        <w:br/>
      </w:r>
      <w:r w:rsidRPr="00EA6658">
        <w:t>We farewell nurse Raylene</w:t>
      </w:r>
    </w:p>
    <w:p w14:paraId="070B594A" w14:textId="212FEE67" w:rsidR="00D92A75" w:rsidRPr="00EA6658" w:rsidRDefault="00EA6658" w:rsidP="00EA6658">
      <w:pPr>
        <w:pStyle w:val="BodyText"/>
      </w:pPr>
      <w:proofErr w:type="spellStart"/>
      <w:r w:rsidRPr="00EA6658">
        <w:t>Avivo</w:t>
      </w:r>
      <w:proofErr w:type="spellEnd"/>
      <w:r w:rsidRPr="00EA6658">
        <w:t xml:space="preserve"> said ‘farewell but not goodbye’ to one of our longest serving colleagues, Raylene </w:t>
      </w:r>
      <w:proofErr w:type="spellStart"/>
      <w:r w:rsidRPr="00EA6658">
        <w:t>Nestler</w:t>
      </w:r>
      <w:proofErr w:type="spellEnd"/>
      <w:r w:rsidRPr="00EA6658">
        <w:t xml:space="preserve">. Raylene started as a Service Coordinator but as </w:t>
      </w:r>
      <w:proofErr w:type="gramStart"/>
      <w:r w:rsidRPr="00EA6658">
        <w:t>a  Registered</w:t>
      </w:r>
      <w:proofErr w:type="gramEnd"/>
      <w:r w:rsidRPr="00EA6658">
        <w:t xml:space="preserve"> Nurse it was quickly recognised that her skills and talents would be better focused on providing training and mentoring to support workers and families in personal and clinical care.  Raylene made a massive contribution to many people’s lives during her 23 years with </w:t>
      </w:r>
      <w:proofErr w:type="spellStart"/>
      <w:r w:rsidRPr="00EA6658">
        <w:t>Avivo</w:t>
      </w:r>
      <w:proofErr w:type="spellEnd"/>
      <w:r w:rsidRPr="00EA6658">
        <w:t xml:space="preserve"> before retiring in June 2021. She will be missed!</w:t>
      </w:r>
    </w:p>
    <w:p w14:paraId="452A3ED1" w14:textId="77777777" w:rsidR="00B67DAF" w:rsidRDefault="00B67DAF">
      <w:pPr>
        <w:spacing w:after="160" w:line="259" w:lineRule="auto"/>
        <w:rPr>
          <w:rFonts w:asciiTheme="majorHAnsi" w:eastAsiaTheme="majorEastAsia" w:hAnsiTheme="majorHAnsi" w:cstheme="majorBidi"/>
          <w:spacing w:val="-5"/>
          <w:sz w:val="72"/>
          <w:szCs w:val="26"/>
        </w:rPr>
      </w:pPr>
      <w:r>
        <w:br w:type="page"/>
      </w:r>
    </w:p>
    <w:p w14:paraId="2CA7D5E4" w14:textId="77DF1B61" w:rsidR="00A0389E" w:rsidRDefault="00A0389E" w:rsidP="00A0389E">
      <w:pPr>
        <w:pStyle w:val="Heading2"/>
        <w:spacing w:after="0"/>
      </w:pPr>
      <w:bookmarkStart w:id="12" w:name="_Toc87270066"/>
      <w:r>
        <w:t>Intuitive</w:t>
      </w:r>
      <w:bookmarkEnd w:id="12"/>
    </w:p>
    <w:p w14:paraId="4C1C29CA" w14:textId="32AA164B" w:rsidR="00D92A75" w:rsidRDefault="00EA6658" w:rsidP="00A0389E">
      <w:pPr>
        <w:pStyle w:val="Heading1"/>
        <w:spacing w:before="0"/>
      </w:pPr>
      <w:bookmarkStart w:id="13" w:name="_Toc87270067"/>
      <w:r w:rsidRPr="00EA6658">
        <w:t>Listening beyond words</w:t>
      </w:r>
      <w:bookmarkEnd w:id="13"/>
    </w:p>
    <w:p w14:paraId="48CD4CA2" w14:textId="77777777" w:rsidR="00A0389E" w:rsidRDefault="00A0389E" w:rsidP="00A0389E">
      <w:pPr>
        <w:pStyle w:val="Quote"/>
      </w:pPr>
      <w:r w:rsidRPr="00EA6658">
        <w:t>Intuition is sensing using feelings.</w:t>
      </w:r>
    </w:p>
    <w:p w14:paraId="144D02B0" w14:textId="7AD84C3D" w:rsidR="00EA6658" w:rsidRDefault="00EA6658" w:rsidP="00EA6658">
      <w:pPr>
        <w:pStyle w:val="BodyText"/>
      </w:pPr>
      <w:r>
        <w:t>Kate</w:t>
      </w:r>
      <w:r>
        <w:t xml:space="preserve"> </w:t>
      </w:r>
      <w:r>
        <w:t>Fulton</w:t>
      </w:r>
      <w:r>
        <w:br/>
      </w:r>
      <w:r>
        <w:t>CPO</w:t>
      </w:r>
    </w:p>
    <w:p w14:paraId="6AF80999" w14:textId="77777777" w:rsidR="00EA6658" w:rsidRPr="00EA6658" w:rsidRDefault="00EA6658" w:rsidP="00EA6658">
      <w:pPr>
        <w:pStyle w:val="BodyText"/>
        <w:rPr>
          <w:b/>
          <w:bCs/>
        </w:rPr>
      </w:pPr>
      <w:r w:rsidRPr="00EA6658">
        <w:rPr>
          <w:b/>
          <w:bCs/>
        </w:rPr>
        <w:t xml:space="preserve">I’m sure we have all had experiences where we gain a sense of ‘knowing’ or ‘understanding’ about someone or something, when on the face of it, we haven’t had hard facts to base this understanding on. </w:t>
      </w:r>
    </w:p>
    <w:p w14:paraId="1E544025" w14:textId="56E58431" w:rsidR="00EA6658" w:rsidRDefault="00EA6658" w:rsidP="00EA6658">
      <w:pPr>
        <w:pStyle w:val="BodyText"/>
      </w:pPr>
      <w:r>
        <w:t xml:space="preserve">We’ve experienced something more like a ‘gut feel’ or an ‘intuitive understanding’. Our intuition is the ability to know or sense something by observing your feelings. </w:t>
      </w:r>
    </w:p>
    <w:p w14:paraId="212D9BEB" w14:textId="77777777" w:rsidR="00EA6658" w:rsidRDefault="00EA6658" w:rsidP="00EA6658">
      <w:pPr>
        <w:pStyle w:val="BodyText"/>
      </w:pPr>
      <w:r>
        <w:t xml:space="preserve">In a world where hard, rational, reasonable facts are valued, it can be difficult to appreciate our intuition. </w:t>
      </w:r>
    </w:p>
    <w:p w14:paraId="6DC33CFE" w14:textId="77777777" w:rsidR="00EA6658" w:rsidRDefault="00EA6658" w:rsidP="00EA6658">
      <w:pPr>
        <w:pStyle w:val="BodyText"/>
      </w:pPr>
      <w:r>
        <w:t xml:space="preserve">Anyone who works with people knows we need both our head and heart. Intuition is immensely valuable in sensing and understanding what’s important to someone and really working to understand what it takes to build a good relationship. </w:t>
      </w:r>
    </w:p>
    <w:p w14:paraId="7607C612" w14:textId="77777777" w:rsidR="00EA6658" w:rsidRDefault="00EA6658" w:rsidP="00EA6658">
      <w:pPr>
        <w:pStyle w:val="BodyText"/>
      </w:pPr>
      <w:r>
        <w:t xml:space="preserve">If you are interested in people – not just general chit chat, but interested in who people are, what really matters to them, their dreams, and the experiences they have had that makes them who they are today – you will want to be a part of the </w:t>
      </w:r>
      <w:proofErr w:type="spellStart"/>
      <w:r>
        <w:t>Avivo</w:t>
      </w:r>
      <w:proofErr w:type="spellEnd"/>
      <w:r>
        <w:t xml:space="preserve"> community. </w:t>
      </w:r>
    </w:p>
    <w:p w14:paraId="648F0D6D" w14:textId="3E0D3381" w:rsidR="00EA6658" w:rsidRDefault="00EA6658" w:rsidP="00EA6658">
      <w:pPr>
        <w:pStyle w:val="BodyText"/>
      </w:pPr>
      <w:r>
        <w:t xml:space="preserve">Good relationships are critical to our work, and although they take time to develop, we strive to develop honest, integral relationships with </w:t>
      </w:r>
      <w:proofErr w:type="gramStart"/>
      <w:r>
        <w:t>all of</w:t>
      </w:r>
      <w:proofErr w:type="gramEnd"/>
      <w:r>
        <w:t xml:space="preserve"> our customers. </w:t>
      </w:r>
    </w:p>
    <w:p w14:paraId="5F030D3A" w14:textId="77777777" w:rsidR="00EA6658" w:rsidRDefault="00EA6658" w:rsidP="00EA6658">
      <w:pPr>
        <w:pStyle w:val="BodyText"/>
      </w:pPr>
      <w:r>
        <w:t xml:space="preserve">Every day colleagues are connecting with people and listening deeply to everything including the things you can see and the things you can’t. </w:t>
      </w:r>
    </w:p>
    <w:p w14:paraId="131F42DD" w14:textId="77777777" w:rsidR="00EA6658" w:rsidRDefault="00EA6658" w:rsidP="00EA6658">
      <w:pPr>
        <w:pStyle w:val="BodyText"/>
      </w:pPr>
      <w:r>
        <w:t>We can often arrive at people’s homes to be told, ‘I’m fine’ and that little gut feeling urges us to explore a little further, only to discover the person has been suffering significant anxiety over the last few days or really missing their daughter and experiencing loneliness</w:t>
      </w:r>
      <w:proofErr w:type="gramStart"/>
      <w:r>
        <w:t xml:space="preserve">.  </w:t>
      </w:r>
      <w:proofErr w:type="gramEnd"/>
      <w:r>
        <w:t xml:space="preserve"> The last year has been challenging, specifically in our recruitment efforts – finding the right people in the context of a national workforce shortage. </w:t>
      </w:r>
    </w:p>
    <w:p w14:paraId="3154D521" w14:textId="77777777" w:rsidR="00EA6658" w:rsidRDefault="00EA6658" w:rsidP="00EA6658">
      <w:pPr>
        <w:pStyle w:val="BodyText"/>
      </w:pPr>
      <w:r>
        <w:lastRenderedPageBreak/>
        <w:t xml:space="preserve">However, in the face of this, our teams have continued to deliver supports and work sensitively, curiously and with heart and mind. </w:t>
      </w:r>
    </w:p>
    <w:p w14:paraId="1E811959" w14:textId="77777777" w:rsidR="00EA6658" w:rsidRDefault="00EA6658" w:rsidP="00EA6658">
      <w:pPr>
        <w:pStyle w:val="BodyText"/>
      </w:pPr>
      <w:r>
        <w:t xml:space="preserve">Our colleagues are diverse, as are our customers, so we have people with varied interests and experience. </w:t>
      </w:r>
    </w:p>
    <w:p w14:paraId="0E9B26FA" w14:textId="59B63450" w:rsidR="00EA6658" w:rsidRDefault="00EA6658" w:rsidP="00EA6658">
      <w:pPr>
        <w:pStyle w:val="BodyText"/>
      </w:pPr>
      <w:r>
        <w:t xml:space="preserve">We know everyone can work with an open heart, curious </w:t>
      </w:r>
      <w:proofErr w:type="gramStart"/>
      <w:r>
        <w:t>mind</w:t>
      </w:r>
      <w:proofErr w:type="gramEnd"/>
      <w:r>
        <w:t xml:space="preserve"> and a commitment to do what it takes to help people live their lives.  </w:t>
      </w:r>
    </w:p>
    <w:p w14:paraId="272896C8" w14:textId="4FAF2843" w:rsidR="00EA6658" w:rsidRPr="00EA6658" w:rsidRDefault="00EA6658" w:rsidP="00EA6658">
      <w:pPr>
        <w:pStyle w:val="Heading5"/>
      </w:pPr>
      <w:proofErr w:type="spellStart"/>
      <w:r w:rsidRPr="00EA6658">
        <w:t>UDirect</w:t>
      </w:r>
      <w:proofErr w:type="spellEnd"/>
      <w:r w:rsidRPr="00EA6658">
        <w:t xml:space="preserve">  </w:t>
      </w:r>
    </w:p>
    <w:p w14:paraId="5B2D494D" w14:textId="77777777" w:rsidR="00EA6658" w:rsidRDefault="00EA6658" w:rsidP="00B67DAF">
      <w:pPr>
        <w:pStyle w:val="BodyText"/>
        <w:keepNext/>
      </w:pPr>
      <w:proofErr w:type="spellStart"/>
      <w:r>
        <w:t>UDirect</w:t>
      </w:r>
      <w:proofErr w:type="spellEnd"/>
      <w:r>
        <w:t xml:space="preserve"> is an intermediary service that assists people who have self-, plan- or agency-managed budgets.</w:t>
      </w:r>
    </w:p>
    <w:p w14:paraId="4AAC1173" w14:textId="4FFC48D9" w:rsidR="00EA6658" w:rsidRDefault="00EA6658" w:rsidP="00EA6658">
      <w:pPr>
        <w:pStyle w:val="BodyText"/>
      </w:pPr>
      <w:r>
        <w:t xml:space="preserve">It supports people to design and implement their plan in a way that works for </w:t>
      </w:r>
      <w:proofErr w:type="gramStart"/>
      <w:r>
        <w:t>them</w:t>
      </w:r>
      <w:proofErr w:type="gramEnd"/>
      <w:r>
        <w:t xml:space="preserve"> and it operates separately to </w:t>
      </w:r>
      <w:proofErr w:type="spellStart"/>
      <w:r>
        <w:t>Avivo’s</w:t>
      </w:r>
      <w:proofErr w:type="spellEnd"/>
      <w:r>
        <w:t xml:space="preserve"> usual support services.</w:t>
      </w:r>
    </w:p>
    <w:p w14:paraId="46265606" w14:textId="77777777" w:rsidR="00EA6658" w:rsidRDefault="00EA6658" w:rsidP="00EA6658">
      <w:pPr>
        <w:pStyle w:val="BodyText"/>
      </w:pPr>
      <w:r>
        <w:t xml:space="preserve">Offering support with integrity is essential to </w:t>
      </w:r>
      <w:proofErr w:type="spellStart"/>
      <w:r>
        <w:t>UDirect</w:t>
      </w:r>
      <w:proofErr w:type="spellEnd"/>
      <w:r>
        <w:t xml:space="preserve">. To achieve this, we are committed to ensuring all </w:t>
      </w:r>
      <w:proofErr w:type="spellStart"/>
      <w:r>
        <w:t>UDirect</w:t>
      </w:r>
      <w:proofErr w:type="spellEnd"/>
      <w:r>
        <w:t xml:space="preserve"> customers get good advice on the full range of providers in WA. </w:t>
      </w:r>
    </w:p>
    <w:p w14:paraId="47BEF793" w14:textId="77777777" w:rsidR="00EA6658" w:rsidRDefault="00EA6658" w:rsidP="00EA6658">
      <w:pPr>
        <w:pStyle w:val="BodyText"/>
      </w:pPr>
      <w:r w:rsidRPr="00EA6658">
        <w:rPr>
          <w:rStyle w:val="Bold"/>
        </w:rPr>
        <w:t>Shared Management</w:t>
      </w:r>
      <w:r>
        <w:t xml:space="preserve"> supports customers to engage their own support team. This includes assistance with budgeting and meeting their obligations as an employer. 74 people were supported with Shared Management, 62 of whom also have payroll services. </w:t>
      </w:r>
    </w:p>
    <w:p w14:paraId="042CA29D" w14:textId="1C83979B" w:rsidR="00EA6658" w:rsidRDefault="00EA6658" w:rsidP="00EA6658">
      <w:pPr>
        <w:pStyle w:val="BodyText"/>
      </w:pPr>
      <w:r w:rsidRPr="00EA6658">
        <w:rPr>
          <w:rStyle w:val="Bold"/>
        </w:rPr>
        <w:t>Support Coordination</w:t>
      </w:r>
      <w:r>
        <w:t xml:space="preserve"> assists NDIS participants to access and coordinate their services within budget - supporting customers all over Perth metro, Wheatbelt and Coral Coast.</w:t>
      </w:r>
    </w:p>
    <w:p w14:paraId="7F5BE8ED" w14:textId="325106D3" w:rsidR="00EA6658" w:rsidRPr="00EA6658" w:rsidRDefault="00EA6658" w:rsidP="00EA6658">
      <w:pPr>
        <w:pStyle w:val="BodyText"/>
        <w:rPr>
          <w:b/>
          <w:bCs/>
        </w:rPr>
      </w:pPr>
      <w:r w:rsidRPr="00EA6658">
        <w:rPr>
          <w:b/>
          <w:bCs/>
        </w:rPr>
        <w:t>336 people assisted by support coordinators</w:t>
      </w:r>
    </w:p>
    <w:p w14:paraId="3F671D34" w14:textId="697FA85D" w:rsidR="00EA6658" w:rsidRDefault="00EA6658" w:rsidP="00EA6658">
      <w:pPr>
        <w:pStyle w:val="BodyText"/>
      </w:pPr>
      <w:r w:rsidRPr="00EA6658">
        <w:rPr>
          <w:rStyle w:val="Bold"/>
        </w:rPr>
        <w:t>Plan Management</w:t>
      </w:r>
      <w:r>
        <w:t xml:space="preserve"> is a bookkeeping and accounting service that allows NDIS participants to access services from both registered and non-registered providers to help achieve their NDIS goals without processing payments and claims. </w:t>
      </w:r>
    </w:p>
    <w:p w14:paraId="616ADE36" w14:textId="5268EBCF" w:rsidR="00EA6658" w:rsidRPr="00EA6658" w:rsidRDefault="00EA6658" w:rsidP="00EA6658">
      <w:pPr>
        <w:pStyle w:val="BodyText"/>
        <w:rPr>
          <w:b/>
          <w:bCs/>
        </w:rPr>
      </w:pPr>
      <w:r w:rsidRPr="00EA6658">
        <w:rPr>
          <w:b/>
          <w:bCs/>
        </w:rPr>
        <w:t>150 plan management customers</w:t>
      </w:r>
    </w:p>
    <w:p w14:paraId="71D82842" w14:textId="77777777" w:rsidR="00EA6658" w:rsidRDefault="00EA6658" w:rsidP="00EA6658">
      <w:pPr>
        <w:pStyle w:val="Heading5"/>
      </w:pPr>
      <w:r>
        <w:t>Shared Living</w:t>
      </w:r>
    </w:p>
    <w:p w14:paraId="0C8D5A0D" w14:textId="77777777" w:rsidR="00EA6658" w:rsidRDefault="00EA6658" w:rsidP="00EA6658">
      <w:pPr>
        <w:pStyle w:val="BodyText"/>
        <w:spacing w:after="0"/>
      </w:pPr>
      <w:r>
        <w:t xml:space="preserve">Shared Living is an individualised service that matches and supports people to share their life and accommodation with others. In the last financial </w:t>
      </w:r>
      <w:proofErr w:type="gramStart"/>
      <w:r>
        <w:t>year</w:t>
      </w:r>
      <w:proofErr w:type="gramEnd"/>
      <w:r>
        <w:t xml:space="preserve"> we had:</w:t>
      </w:r>
    </w:p>
    <w:p w14:paraId="25C451C2" w14:textId="77777777" w:rsidR="00EA6658" w:rsidRDefault="00EA6658" w:rsidP="00EA6658">
      <w:pPr>
        <w:pStyle w:val="ListBullet0"/>
      </w:pPr>
      <w:r>
        <w:t xml:space="preserve">36 Shared Living customers in Perth metro </w:t>
      </w:r>
    </w:p>
    <w:p w14:paraId="77813951" w14:textId="77777777" w:rsidR="00EA6658" w:rsidRDefault="00EA6658" w:rsidP="00EA6658">
      <w:pPr>
        <w:pStyle w:val="ListBullet0"/>
      </w:pPr>
      <w:r>
        <w:t>Three Shared Living arrangements in the Coral Coast region</w:t>
      </w:r>
    </w:p>
    <w:p w14:paraId="3380E152" w14:textId="77777777" w:rsidR="00EA6658" w:rsidRDefault="00EA6658" w:rsidP="00EA6658">
      <w:pPr>
        <w:pStyle w:val="ListBullet0"/>
      </w:pPr>
      <w:r>
        <w:t>Five Shared Living arrangements operating in the Wheatbelt region</w:t>
      </w:r>
    </w:p>
    <w:p w14:paraId="7250DB3B" w14:textId="77777777" w:rsidR="00EA6658" w:rsidRDefault="00EA6658" w:rsidP="00EA6658">
      <w:pPr>
        <w:pStyle w:val="BodyText"/>
      </w:pPr>
      <w:r>
        <w:t>Support was provided with the assistance of funding from the WA Department of Communities and the NDIS.</w:t>
      </w:r>
    </w:p>
    <w:p w14:paraId="407E16DB" w14:textId="77777777" w:rsidR="00EA6658" w:rsidRDefault="00EA6658" w:rsidP="00EA6658">
      <w:pPr>
        <w:pStyle w:val="Heading5"/>
      </w:pPr>
      <w:r>
        <w:t>Work Health and Safety</w:t>
      </w:r>
    </w:p>
    <w:p w14:paraId="403FB696" w14:textId="77777777" w:rsidR="00EA6658" w:rsidRDefault="00EA6658" w:rsidP="00EA6658">
      <w:pPr>
        <w:pStyle w:val="BodyText"/>
      </w:pPr>
      <w:r>
        <w:t xml:space="preserve">Health and safety </w:t>
      </w:r>
      <w:proofErr w:type="gramStart"/>
      <w:r>
        <w:t>is</w:t>
      </w:r>
      <w:proofErr w:type="gramEnd"/>
      <w:r>
        <w:t xml:space="preserve"> fundamental to how we work at </w:t>
      </w:r>
      <w:proofErr w:type="spellStart"/>
      <w:r>
        <w:t>Avivo</w:t>
      </w:r>
      <w:proofErr w:type="spellEnd"/>
      <w:r>
        <w:t>, and the safety of our colleagues and customers is our priority.</w:t>
      </w:r>
    </w:p>
    <w:p w14:paraId="674C68F7" w14:textId="77777777" w:rsidR="00EA6658" w:rsidRDefault="00EA6658" w:rsidP="00EA6658">
      <w:pPr>
        <w:pStyle w:val="BodyText"/>
      </w:pPr>
      <w:r>
        <w:t xml:space="preserve">This year we committed </w:t>
      </w:r>
      <w:proofErr w:type="spellStart"/>
      <w:r>
        <w:t>additonal</w:t>
      </w:r>
      <w:proofErr w:type="spellEnd"/>
      <w:r>
        <w:t xml:space="preserve"> resources to </w:t>
      </w:r>
      <w:proofErr w:type="spellStart"/>
      <w:r>
        <w:t>WHS</w:t>
      </w:r>
      <w:proofErr w:type="spellEnd"/>
      <w:r>
        <w:t xml:space="preserve"> to focus on improving our safety culture through the Lifeguard network, and supported colleagues during the COVID-19 pandemic.</w:t>
      </w:r>
    </w:p>
    <w:p w14:paraId="7963A8B7" w14:textId="77777777" w:rsidR="00EA6658" w:rsidRDefault="00EA6658" w:rsidP="00EA6658">
      <w:pPr>
        <w:pStyle w:val="BodyText"/>
      </w:pPr>
      <w:r>
        <w:lastRenderedPageBreak/>
        <w:t xml:space="preserve">We also undertook a name change and got a fresh new logo after the Government’s legislation language moved from Occupational Health and Safety to Work Health and Safety. </w:t>
      </w:r>
    </w:p>
    <w:p w14:paraId="7F4C5E47" w14:textId="77777777" w:rsidR="00EA6658" w:rsidRDefault="00EA6658" w:rsidP="00EA6658">
      <w:pPr>
        <w:pStyle w:val="BodyText"/>
      </w:pPr>
      <w:r>
        <w:t xml:space="preserve">This year saw a decrease in colleague injuries and an encouraging increase in hazard reporting. Manual tasks remain the highest risk to </w:t>
      </w:r>
      <w:proofErr w:type="spellStart"/>
      <w:r>
        <w:t>Avivo</w:t>
      </w:r>
      <w:proofErr w:type="spellEnd"/>
      <w:r>
        <w:t xml:space="preserve"> colleagues, with the major cause being ‘repositioning’ of customers.</w:t>
      </w:r>
    </w:p>
    <w:p w14:paraId="6854B00A" w14:textId="6A90272B" w:rsidR="00EA6658" w:rsidRDefault="00EA6658" w:rsidP="00EA6658">
      <w:pPr>
        <w:pStyle w:val="BodyText"/>
      </w:pPr>
      <w:r>
        <w:t xml:space="preserve">Unfortunately, our reportable injuries to </w:t>
      </w:r>
      <w:proofErr w:type="spellStart"/>
      <w:r>
        <w:t>Worksafe</w:t>
      </w:r>
      <w:proofErr w:type="spellEnd"/>
      <w:r>
        <w:t xml:space="preserve"> WA </w:t>
      </w:r>
      <w:proofErr w:type="gramStart"/>
      <w:r>
        <w:t>was</w:t>
      </w:r>
      <w:proofErr w:type="gramEnd"/>
      <w:r>
        <w:t xml:space="preserve"> two, compared to one in the previous year. But the rest of our statistics for 2020/2021 show a marked improvement on the year before.</w:t>
      </w:r>
    </w:p>
    <w:p w14:paraId="373B80F3" w14:textId="5C3E3E6E" w:rsidR="00EA6658" w:rsidRPr="00EA6658" w:rsidRDefault="00EA6658" w:rsidP="00EA6658">
      <w:pPr>
        <w:pStyle w:val="Heading4"/>
      </w:pPr>
      <w:r w:rsidRPr="00EA6658">
        <w:t>Workers comp claims</w:t>
      </w:r>
    </w:p>
    <w:p w14:paraId="5AEDED55" w14:textId="7B7FE980" w:rsidR="00EA6658" w:rsidRDefault="00EA6658" w:rsidP="00EA6658">
      <w:pPr>
        <w:pStyle w:val="BodyText"/>
      </w:pPr>
      <w:r w:rsidRPr="00EA6658">
        <w:rPr>
          <w:highlight w:val="yellow"/>
        </w:rPr>
        <w:t>28 in 2020</w:t>
      </w:r>
      <w:r w:rsidRPr="00EA6658">
        <w:rPr>
          <w:highlight w:val="yellow"/>
        </w:rPr>
        <w:br/>
        <w:t>17 in 2021</w:t>
      </w:r>
    </w:p>
    <w:p w14:paraId="13F26E44" w14:textId="77777777" w:rsidR="00EA6658" w:rsidRDefault="00EA6658" w:rsidP="00EA6658">
      <w:pPr>
        <w:pStyle w:val="Heading5"/>
      </w:pPr>
      <w:proofErr w:type="spellStart"/>
      <w:r>
        <w:t>Avivo</w:t>
      </w:r>
      <w:proofErr w:type="spellEnd"/>
      <w:r>
        <w:t xml:space="preserve"> Lifeguards</w:t>
      </w:r>
    </w:p>
    <w:p w14:paraId="567CD921" w14:textId="77777777" w:rsidR="00EA6658" w:rsidRDefault="00EA6658" w:rsidP="00EA6658">
      <w:pPr>
        <w:pStyle w:val="BodyText"/>
      </w:pPr>
      <w:r>
        <w:t xml:space="preserve">At </w:t>
      </w:r>
      <w:proofErr w:type="spellStart"/>
      <w:r>
        <w:t>Avivo</w:t>
      </w:r>
      <w:proofErr w:type="spellEnd"/>
      <w:r>
        <w:t xml:space="preserve">, we all make a difference to keeping ourselves and others safe and well. </w:t>
      </w:r>
    </w:p>
    <w:p w14:paraId="0EA2AA32" w14:textId="77777777" w:rsidR="00EA6658" w:rsidRDefault="00EA6658" w:rsidP="00EA6658">
      <w:pPr>
        <w:pStyle w:val="BodyText"/>
      </w:pPr>
      <w:r>
        <w:t xml:space="preserve">An exciting aspect of having established one hundred community teams is the development of a ‘Lifeguard role’ within every team. </w:t>
      </w:r>
    </w:p>
    <w:p w14:paraId="11680686" w14:textId="77777777" w:rsidR="00EA6658" w:rsidRDefault="00EA6658" w:rsidP="00EA6658">
      <w:pPr>
        <w:pStyle w:val="BodyText"/>
      </w:pPr>
      <w:r>
        <w:t>The Lifeguard supports colleagues to think about health and safety and take action to address risks and prevent accidents</w:t>
      </w:r>
      <w:proofErr w:type="gramStart"/>
      <w:r>
        <w:t xml:space="preserve">.  </w:t>
      </w:r>
      <w:proofErr w:type="gramEnd"/>
      <w:r>
        <w:t xml:space="preserve">  </w:t>
      </w:r>
    </w:p>
    <w:p w14:paraId="47FF2916" w14:textId="752DD99E" w:rsidR="00EA6658" w:rsidRDefault="00EA6658" w:rsidP="00EA6658">
      <w:pPr>
        <w:pStyle w:val="BodyText"/>
      </w:pPr>
      <w:r>
        <w:t xml:space="preserve">Our Lifeguard network is supported by the </w:t>
      </w:r>
      <w:proofErr w:type="spellStart"/>
      <w:r>
        <w:t>WHS</w:t>
      </w:r>
      <w:proofErr w:type="spellEnd"/>
      <w:r>
        <w:t xml:space="preserve"> Team and meets regularly to discuss hot topics, as well as share experience and learning.</w:t>
      </w:r>
    </w:p>
    <w:p w14:paraId="22D810E7" w14:textId="77777777" w:rsidR="00EA6658" w:rsidRDefault="00EA6658" w:rsidP="00EA6658">
      <w:pPr>
        <w:pStyle w:val="BodyText"/>
      </w:pPr>
      <w:r>
        <w:t>This year the Lifeguards have gone from strength to strength and done amazing work ensuring all teams have the information and PPE and they need to keep customers and themselves safe during the pandemic</w:t>
      </w:r>
      <w:proofErr w:type="gramStart"/>
      <w:r>
        <w:t xml:space="preserve">.  </w:t>
      </w:r>
      <w:proofErr w:type="gramEnd"/>
    </w:p>
    <w:p w14:paraId="560D3493" w14:textId="77777777" w:rsidR="00EA6658" w:rsidRDefault="00EA6658" w:rsidP="00EA6658">
      <w:pPr>
        <w:pStyle w:val="Heading5"/>
      </w:pPr>
      <w:r>
        <w:t xml:space="preserve">Learning and Development </w:t>
      </w:r>
    </w:p>
    <w:p w14:paraId="53A6D041" w14:textId="77777777" w:rsidR="00EA6658" w:rsidRDefault="00EA6658" w:rsidP="00EA6658">
      <w:pPr>
        <w:pStyle w:val="BodyText"/>
      </w:pPr>
      <w:r>
        <w:t>Over the last year the Learning and Development (</w:t>
      </w:r>
      <w:proofErr w:type="spellStart"/>
      <w:r>
        <w:t>L&amp;D</w:t>
      </w:r>
      <w:proofErr w:type="spellEnd"/>
      <w:r>
        <w:t xml:space="preserve">) Team reflected on their purpose, </w:t>
      </w:r>
      <w:proofErr w:type="gramStart"/>
      <w:r>
        <w:t>structure</w:t>
      </w:r>
      <w:proofErr w:type="gramEnd"/>
      <w:r>
        <w:t xml:space="preserve"> and roles, to determine how all colleagues could access the learning and development they need. </w:t>
      </w:r>
    </w:p>
    <w:p w14:paraId="2173939F" w14:textId="3BEF71DD" w:rsidR="00EA6658" w:rsidRDefault="00EA6658" w:rsidP="00EA6658">
      <w:pPr>
        <w:pStyle w:val="BodyText"/>
      </w:pPr>
      <w:r>
        <w:t xml:space="preserve">The team had a significant pivot in the last year, as they moved to delivering learning online, via MS Teams. </w:t>
      </w:r>
    </w:p>
    <w:p w14:paraId="6BEFF0F7" w14:textId="74B7A3CB" w:rsidR="00EA6658" w:rsidRPr="00EA6658" w:rsidRDefault="00EA6658" w:rsidP="00EA6658">
      <w:pPr>
        <w:pStyle w:val="BodyText"/>
        <w:rPr>
          <w:b/>
          <w:bCs/>
        </w:rPr>
      </w:pPr>
      <w:r w:rsidRPr="00EA6658">
        <w:rPr>
          <w:b/>
          <w:bCs/>
        </w:rPr>
        <w:t>300 training and info sessions delivered</w:t>
      </w:r>
    </w:p>
    <w:p w14:paraId="69F2F38E" w14:textId="77777777" w:rsidR="00EA6658" w:rsidRDefault="00EA6658" w:rsidP="00EA6658">
      <w:pPr>
        <w:pStyle w:val="BodyText"/>
      </w:pPr>
      <w:r>
        <w:t xml:space="preserve">This enabled them to reach our colleagues in remote areas or as they moved about in community between supports. </w:t>
      </w:r>
    </w:p>
    <w:p w14:paraId="287682A7" w14:textId="77777777" w:rsidR="00EA6658" w:rsidRDefault="00EA6658" w:rsidP="00EA6658">
      <w:pPr>
        <w:pStyle w:val="BodyText"/>
      </w:pPr>
      <w:r>
        <w:t xml:space="preserve">Surprisingly, even a generally ‘physical’ training module, such as aspects of manual handing, was able to be refined and effectively conducted via MS Teams. </w:t>
      </w:r>
    </w:p>
    <w:p w14:paraId="547CC930" w14:textId="4413A8B8" w:rsidR="00EA6658" w:rsidRDefault="00EA6658" w:rsidP="00EA6658">
      <w:pPr>
        <w:pStyle w:val="BodyText"/>
      </w:pPr>
      <w:r>
        <w:t>Over the year we saw more than 2000 staff attendances at over 300 training and information sessions</w:t>
      </w:r>
      <w:proofErr w:type="gramStart"/>
      <w:r>
        <w:t xml:space="preserve">.  </w:t>
      </w:r>
      <w:proofErr w:type="gramEnd"/>
    </w:p>
    <w:p w14:paraId="22F75B79" w14:textId="523F14B2" w:rsidR="00EA6658" w:rsidRDefault="00EA6658" w:rsidP="00EA6658">
      <w:pPr>
        <w:pStyle w:val="BodyText"/>
      </w:pPr>
      <w:r>
        <w:t>From a development perspective, our colleagues spent time reviewing their team agreements and working towards creating meaningful personal development plans.</w:t>
      </w:r>
    </w:p>
    <w:p w14:paraId="314EEA2F" w14:textId="77777777" w:rsidR="00A0389E" w:rsidRPr="00A0389E" w:rsidRDefault="00A0389E" w:rsidP="00A0389E">
      <w:pPr>
        <w:pStyle w:val="BodyText"/>
      </w:pPr>
      <w:r w:rsidRPr="00A0389E">
        <w:br w:type="page"/>
      </w:r>
    </w:p>
    <w:p w14:paraId="20854C02" w14:textId="77777777" w:rsidR="00B67DAF" w:rsidRDefault="00B67DAF" w:rsidP="00B67DAF">
      <w:pPr>
        <w:pStyle w:val="Heading2"/>
        <w:spacing w:after="0"/>
      </w:pPr>
      <w:bookmarkStart w:id="14" w:name="_Toc87270068"/>
      <w:r>
        <w:lastRenderedPageBreak/>
        <w:t>Friendly</w:t>
      </w:r>
      <w:bookmarkEnd w:id="14"/>
    </w:p>
    <w:p w14:paraId="792883A5" w14:textId="7060CCC6" w:rsidR="00EA6658" w:rsidRDefault="00A0389E" w:rsidP="00B67DAF">
      <w:pPr>
        <w:pStyle w:val="Heading1"/>
        <w:spacing w:before="0"/>
      </w:pPr>
      <w:bookmarkStart w:id="15" w:name="_Toc87270069"/>
      <w:r w:rsidRPr="00A0389E">
        <w:t>Friendly faces lend a helping hand</w:t>
      </w:r>
      <w:bookmarkEnd w:id="15"/>
    </w:p>
    <w:p w14:paraId="4C9CABCF" w14:textId="26FA755C" w:rsidR="00A0389E" w:rsidRPr="00A0389E" w:rsidRDefault="00A0389E" w:rsidP="00A0389E">
      <w:pPr>
        <w:pStyle w:val="Quote"/>
      </w:pPr>
      <w:r>
        <w:t>What will it take to be of service to my community?</w:t>
      </w:r>
    </w:p>
    <w:p w14:paraId="18E7B58C" w14:textId="77777777" w:rsidR="00A0389E" w:rsidRDefault="00A0389E" w:rsidP="00A0389E">
      <w:pPr>
        <w:pStyle w:val="BodyText"/>
      </w:pPr>
      <w:r>
        <w:t xml:space="preserve">The </w:t>
      </w:r>
      <w:proofErr w:type="spellStart"/>
      <w:r>
        <w:t>Avivo</w:t>
      </w:r>
      <w:proofErr w:type="spellEnd"/>
      <w:r>
        <w:t xml:space="preserve"> family is very proud of the work undertaken by some of the Coral Coast Team in the wake of Cyclone </w:t>
      </w:r>
      <w:proofErr w:type="spellStart"/>
      <w:r>
        <w:t>Seroja</w:t>
      </w:r>
      <w:proofErr w:type="spellEnd"/>
      <w:r>
        <w:t>, which hit the coast of WA in April 2021</w:t>
      </w:r>
      <w:proofErr w:type="gramStart"/>
      <w:r>
        <w:t xml:space="preserve">.  </w:t>
      </w:r>
      <w:proofErr w:type="gramEnd"/>
    </w:p>
    <w:p w14:paraId="0C2C6BD1" w14:textId="77777777" w:rsidR="00A0389E" w:rsidRDefault="00A0389E" w:rsidP="00A0389E">
      <w:pPr>
        <w:pStyle w:val="BodyText"/>
      </w:pPr>
      <w:r>
        <w:t xml:space="preserve">Post-cyclone, the entire town of Geraldton had lost all phone services for two days, and power for at least four days (up to weeks in some areas). </w:t>
      </w:r>
    </w:p>
    <w:p w14:paraId="1F30EDFF" w14:textId="6154A74A" w:rsidR="00A0389E" w:rsidRDefault="00A0389E" w:rsidP="00A0389E">
      <w:pPr>
        <w:pStyle w:val="BodyText"/>
      </w:pPr>
      <w:r>
        <w:t>Office teams were unable to contact team members and support workers were unable to check rosters on their phones.</w:t>
      </w:r>
    </w:p>
    <w:p w14:paraId="7AE5DEBF" w14:textId="266D6965" w:rsidR="00A0389E" w:rsidRDefault="00A0389E" w:rsidP="00A0389E">
      <w:pPr>
        <w:pStyle w:val="BodyText"/>
      </w:pPr>
      <w:r>
        <w:t xml:space="preserve">But this didn’t stop the Geraldton team from rolling up their sleeves and ‘just getting it done’ – embodying the </w:t>
      </w:r>
      <w:proofErr w:type="spellStart"/>
      <w:r>
        <w:t>Avivo</w:t>
      </w:r>
      <w:proofErr w:type="spellEnd"/>
      <w:r>
        <w:t xml:space="preserve"> ethos that we are here to help the community in times of need, whatever it takes, by asking: “What will it take to be of service to my community?” </w:t>
      </w:r>
    </w:p>
    <w:p w14:paraId="5F9F4390" w14:textId="77777777" w:rsidR="00A0389E" w:rsidRDefault="00A0389E" w:rsidP="00A0389E">
      <w:pPr>
        <w:pStyle w:val="BodyText"/>
      </w:pPr>
      <w:r>
        <w:t xml:space="preserve">The team went ahead and connected with customers and took the liberty of checking in with those who weren’t expecting to hear from </w:t>
      </w:r>
      <w:proofErr w:type="spellStart"/>
      <w:r>
        <w:t>Avivo</w:t>
      </w:r>
      <w:proofErr w:type="spellEnd"/>
      <w:r>
        <w:t xml:space="preserve"> but may need some help during the crisis. </w:t>
      </w:r>
    </w:p>
    <w:p w14:paraId="7BEFE704" w14:textId="77777777" w:rsidR="00A0389E" w:rsidRDefault="00A0389E" w:rsidP="00A0389E">
      <w:pPr>
        <w:pStyle w:val="BodyText"/>
      </w:pPr>
      <w:r>
        <w:t>This was all very much done on a trust basis. Once the office power was restored, supports were re-aligned based on what all teams thought was necessary to support the most vulnerable customers in the community. Team members loaned generators and battery packs to customers, collected essentials for customers, checked that food was safe for consumption and ensured everyone was kitted with required batteries, torches and other necessities.</w:t>
      </w:r>
    </w:p>
    <w:p w14:paraId="39CAE8C1" w14:textId="03EE8494" w:rsidR="00A0389E" w:rsidRDefault="00A0389E" w:rsidP="00A0389E">
      <w:pPr>
        <w:pStyle w:val="BodyText"/>
      </w:pPr>
      <w:r>
        <w:t xml:space="preserve">One customer joined their support worker driving around to check on other people. Other caring acts included visiting customers' homes with bags of ice, to ensure that food didn’t spoil without electricity to power refrigerators. One support worker took a particularly vulnerable customer into her own home, knowing that he had no other family or support in town during the crisis and that he was scared, alone and felt very unsafe. </w:t>
      </w:r>
    </w:p>
    <w:p w14:paraId="71C6E039" w14:textId="08224D02" w:rsidR="00A0389E" w:rsidRDefault="00A0389E" w:rsidP="00A0389E">
      <w:pPr>
        <w:pStyle w:val="BodyText"/>
      </w:pPr>
      <w:r>
        <w:t xml:space="preserve">Nothing makes us prouder than seeing our colleagues truly embody the essence of </w:t>
      </w:r>
      <w:proofErr w:type="spellStart"/>
      <w:r>
        <w:t>Avivo</w:t>
      </w:r>
      <w:proofErr w:type="spellEnd"/>
      <w:r>
        <w:t xml:space="preserve">. </w:t>
      </w:r>
    </w:p>
    <w:p w14:paraId="6D6C39BC" w14:textId="26F0EE31" w:rsidR="00A0389E" w:rsidRDefault="00A0389E" w:rsidP="00A0389E">
      <w:pPr>
        <w:pStyle w:val="BodyText"/>
      </w:pPr>
      <w:r>
        <w:t xml:space="preserve">We were delighted when this team became a finalist at the 2021 </w:t>
      </w:r>
      <w:proofErr w:type="spellStart"/>
      <w:r>
        <w:t>NDS</w:t>
      </w:r>
      <w:proofErr w:type="spellEnd"/>
      <w:r>
        <w:t xml:space="preserve"> Disability Support Awards for Excellence in Regional Support. </w:t>
      </w:r>
    </w:p>
    <w:p w14:paraId="6BEFC6D3" w14:textId="77777777" w:rsidR="00A0389E" w:rsidRDefault="00A0389E" w:rsidP="00A0389E">
      <w:pPr>
        <w:pStyle w:val="BodyText"/>
      </w:pPr>
      <w:r>
        <w:t>And whilst they didn’t win on the night, they are certainly all winners in the eyes of their grateful customers and colleagues.</w:t>
      </w:r>
    </w:p>
    <w:p w14:paraId="5F738815" w14:textId="6DBB70EE" w:rsidR="00A0389E" w:rsidRPr="00A0389E" w:rsidRDefault="00A0389E" w:rsidP="00A0389E">
      <w:pPr>
        <w:pStyle w:val="BodyText"/>
        <w:rPr>
          <w:b/>
          <w:bCs/>
        </w:rPr>
      </w:pPr>
      <w:r w:rsidRPr="00A0389E">
        <w:rPr>
          <w:b/>
          <w:bCs/>
        </w:rPr>
        <w:t xml:space="preserve">One of our challenges at </w:t>
      </w:r>
      <w:proofErr w:type="spellStart"/>
      <w:r w:rsidRPr="00A0389E">
        <w:rPr>
          <w:b/>
          <w:bCs/>
        </w:rPr>
        <w:t>Avivo</w:t>
      </w:r>
      <w:proofErr w:type="spellEnd"/>
      <w:r w:rsidRPr="00A0389E">
        <w:rPr>
          <w:b/>
          <w:bCs/>
        </w:rPr>
        <w:t xml:space="preserve"> is working out how we can help people living with dementia to maintain their independence, without compromising their safety and quality of life.</w:t>
      </w:r>
    </w:p>
    <w:p w14:paraId="6E386A17" w14:textId="77777777" w:rsidR="00A0389E" w:rsidRDefault="00A0389E" w:rsidP="00A0389E">
      <w:pPr>
        <w:pStyle w:val="BodyText"/>
      </w:pPr>
      <w:r>
        <w:t xml:space="preserve">There are a handful of colleagues who are developing their knowledge and skills in working with people who have dementia. </w:t>
      </w:r>
    </w:p>
    <w:p w14:paraId="054AD3BE" w14:textId="77777777" w:rsidR="00A0389E" w:rsidRDefault="00A0389E" w:rsidP="00A0389E">
      <w:pPr>
        <w:pStyle w:val="BodyText"/>
      </w:pPr>
      <w:r>
        <w:t xml:space="preserve">These Dementia Champions help support workers who may need extra assistance finding solutions to everyday challenges for those living with dementia. </w:t>
      </w:r>
    </w:p>
    <w:p w14:paraId="22A9DC58" w14:textId="77777777" w:rsidR="00A0389E" w:rsidRDefault="00A0389E" w:rsidP="00A0389E">
      <w:pPr>
        <w:pStyle w:val="BodyText"/>
      </w:pPr>
      <w:r>
        <w:lastRenderedPageBreak/>
        <w:t xml:space="preserve">By working together with customers, carers and support workers, the Dementia Champions help to navigate the often-rocky path of living with dementia. They can lend an ear when any party is feeling frustrated and help to develop strategies. </w:t>
      </w:r>
    </w:p>
    <w:p w14:paraId="6E39FEDD" w14:textId="6976D7E9" w:rsidR="00A0389E" w:rsidRPr="00A0389E" w:rsidRDefault="00A0389E" w:rsidP="00A0389E">
      <w:pPr>
        <w:pStyle w:val="BodyText"/>
      </w:pPr>
      <w:r>
        <w:t xml:space="preserve">With a little bit of help from these champions, our support workers can make a really big difference to customers living with dementia, and their </w:t>
      </w:r>
      <w:proofErr w:type="spellStart"/>
      <w:r>
        <w:t>carers</w:t>
      </w:r>
      <w:proofErr w:type="spellEnd"/>
      <w:r>
        <w:t>.</w:t>
      </w:r>
    </w:p>
    <w:p w14:paraId="66C05224" w14:textId="65ED5CBD" w:rsidR="00EA6658" w:rsidRDefault="00A0389E" w:rsidP="00A0389E">
      <w:pPr>
        <w:pStyle w:val="Heading5"/>
      </w:pPr>
      <w:r w:rsidRPr="002166F4">
        <w:drawing>
          <wp:inline distT="0" distB="0" distL="0" distR="0" wp14:anchorId="1E5B4E34" wp14:editId="2FD3F483">
            <wp:extent cx="158750" cy="158750"/>
            <wp:effectExtent l="0" t="0" r="0" b="0"/>
            <wp:docPr id="204" name="Picture 2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Picture 231">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59069" cy="159069"/>
                    </a:xfrm>
                    <a:prstGeom prst="rect">
                      <a:avLst/>
                    </a:prstGeom>
                  </pic:spPr>
                </pic:pic>
              </a:graphicData>
            </a:graphic>
          </wp:inline>
        </w:drawing>
      </w:r>
      <w:r w:rsidRPr="002166F4">
        <w:br/>
      </w:r>
      <w:r w:rsidRPr="00A0389E">
        <w:t>Fred's story</w:t>
      </w:r>
    </w:p>
    <w:p w14:paraId="3F1A0610" w14:textId="77777777" w:rsidR="00A0389E" w:rsidRPr="00A0389E" w:rsidRDefault="00A0389E" w:rsidP="00A0389E">
      <w:pPr>
        <w:pStyle w:val="BodyText"/>
        <w:rPr>
          <w:b/>
          <w:bCs/>
        </w:rPr>
      </w:pPr>
      <w:r w:rsidRPr="00A0389E">
        <w:rPr>
          <w:b/>
          <w:bCs/>
        </w:rPr>
        <w:t>Fred is the eldest of eight siblings, born in 1932 in London. He met his wife Dorothy at a local dance, where he vividly remembers a Johnny Dankworth song was playing. After marrying, Fred and Dorothy had two children, one of whom died at birth.</w:t>
      </w:r>
    </w:p>
    <w:p w14:paraId="6467694E" w14:textId="77777777" w:rsidR="00A0389E" w:rsidRDefault="00A0389E" w:rsidP="00A0389E">
      <w:pPr>
        <w:pStyle w:val="BodyText"/>
      </w:pPr>
      <w:r>
        <w:t xml:space="preserve">Fred joined Scotland Yard at age 18 and would later travel the world as a soldier, a </w:t>
      </w:r>
      <w:proofErr w:type="gramStart"/>
      <w:r>
        <w:t>cook</w:t>
      </w:r>
      <w:proofErr w:type="gramEnd"/>
      <w:r>
        <w:t xml:space="preserve"> and a canine trainer in the British Army. The latter job helped establish his life-long love of dogs.</w:t>
      </w:r>
    </w:p>
    <w:p w14:paraId="6E3FB8D7" w14:textId="77777777" w:rsidR="00A0389E" w:rsidRDefault="00A0389E" w:rsidP="00A0389E">
      <w:pPr>
        <w:pStyle w:val="BodyText"/>
      </w:pPr>
      <w:r>
        <w:t>Fred and Dorothy emigrated to Australia in 1972. After an initial stint on Australia’s east coast, the pair eventually moved to their forever home in Geraldton. They enjoyed an active social life for many years before it became evident that Dorothy was experiencing dementia symptoms.</w:t>
      </w:r>
    </w:p>
    <w:p w14:paraId="0F37AC2E" w14:textId="1B6F73CD" w:rsidR="00A0389E" w:rsidRDefault="00A0389E" w:rsidP="00A0389E">
      <w:pPr>
        <w:pStyle w:val="BodyText"/>
      </w:pPr>
      <w:r>
        <w:t xml:space="preserve">Fred was Dorothy’s main carer for many years before he engaged some help from </w:t>
      </w:r>
      <w:proofErr w:type="spellStart"/>
      <w:r>
        <w:t>Avivo</w:t>
      </w:r>
      <w:proofErr w:type="spellEnd"/>
      <w:r>
        <w:t xml:space="preserve">. Once on board, </w:t>
      </w:r>
      <w:proofErr w:type="spellStart"/>
      <w:r>
        <w:t>Avivo</w:t>
      </w:r>
      <w:proofErr w:type="spellEnd"/>
      <w:r>
        <w:t xml:space="preserve"> worked with Fred to help him ensure that Dorothy could remain living by his side in their home, which she did until the day she died three years ago.</w:t>
      </w:r>
    </w:p>
    <w:p w14:paraId="027CD846" w14:textId="7304D515" w:rsidR="00EA6658" w:rsidRDefault="00A0389E" w:rsidP="00A0389E">
      <w:pPr>
        <w:pStyle w:val="BodyText"/>
      </w:pPr>
      <w:r>
        <w:t xml:space="preserve">In Fred’s words, he felt that despite the dementia, his relationship with Dorothy never felt stronger and that they loved each other more with each passing day. And he is grateful to his </w:t>
      </w:r>
      <w:proofErr w:type="spellStart"/>
      <w:r>
        <w:t>Avivo</w:t>
      </w:r>
      <w:proofErr w:type="spellEnd"/>
      <w:r>
        <w:t xml:space="preserve"> team for enabling Dorothy to spend her final years at home by his side.</w:t>
      </w:r>
    </w:p>
    <w:p w14:paraId="0466D37C" w14:textId="77777777" w:rsidR="00B67DAF" w:rsidRDefault="00B67DAF">
      <w:pPr>
        <w:spacing w:after="160" w:line="259" w:lineRule="auto"/>
        <w:rPr>
          <w:rFonts w:asciiTheme="majorHAnsi" w:eastAsiaTheme="majorEastAsia" w:hAnsiTheme="majorHAnsi" w:cstheme="majorBidi"/>
          <w:b/>
          <w:noProof/>
          <w:spacing w:val="-5"/>
          <w:sz w:val="56"/>
          <w:szCs w:val="36"/>
        </w:rPr>
      </w:pPr>
      <w:r>
        <w:br w:type="page"/>
      </w:r>
    </w:p>
    <w:p w14:paraId="2A426914" w14:textId="34C1A86B" w:rsidR="00EA6658" w:rsidRDefault="00A0389E" w:rsidP="00A0389E">
      <w:pPr>
        <w:pStyle w:val="Heading1"/>
      </w:pPr>
      <w:bookmarkStart w:id="16" w:name="_Toc87270070"/>
      <w:r w:rsidRPr="00A0389E">
        <w:t>JobKeeper props up operating deficit</w:t>
      </w:r>
      <w:bookmarkEnd w:id="16"/>
    </w:p>
    <w:p w14:paraId="55B1F304" w14:textId="3DFB9EDE" w:rsidR="00EA6658" w:rsidRDefault="00A0389E" w:rsidP="00A0389E">
      <w:pPr>
        <w:pStyle w:val="BodyText"/>
      </w:pPr>
      <w:r>
        <w:t>Lynsey McDonnell</w:t>
      </w:r>
      <w:r>
        <w:br/>
      </w:r>
      <w:r>
        <w:t>CFO</w:t>
      </w:r>
    </w:p>
    <w:p w14:paraId="495C4516" w14:textId="77777777" w:rsidR="00A0389E" w:rsidRPr="00A0389E" w:rsidRDefault="00A0389E" w:rsidP="00A0389E">
      <w:pPr>
        <w:pStyle w:val="BodyText"/>
        <w:rPr>
          <w:b/>
          <w:bCs/>
        </w:rPr>
      </w:pPr>
      <w:r w:rsidRPr="00A0389E">
        <w:rPr>
          <w:b/>
          <w:bCs/>
        </w:rPr>
        <w:t xml:space="preserve">As we saw last financial year, </w:t>
      </w:r>
      <w:proofErr w:type="spellStart"/>
      <w:r w:rsidRPr="00A0389E">
        <w:rPr>
          <w:b/>
          <w:bCs/>
        </w:rPr>
        <w:t>JobKeeper</w:t>
      </w:r>
      <w:proofErr w:type="spellEnd"/>
      <w:r w:rsidRPr="00A0389E">
        <w:rPr>
          <w:b/>
          <w:bCs/>
        </w:rPr>
        <w:t xml:space="preserve"> has allowed </w:t>
      </w:r>
      <w:proofErr w:type="spellStart"/>
      <w:r w:rsidRPr="00A0389E">
        <w:rPr>
          <w:b/>
          <w:bCs/>
        </w:rPr>
        <w:t>Avivo</w:t>
      </w:r>
      <w:proofErr w:type="spellEnd"/>
      <w:r w:rsidRPr="00A0389E">
        <w:rPr>
          <w:b/>
          <w:bCs/>
        </w:rPr>
        <w:t xml:space="preserve"> to report a net profit despite an underlying operating loss. </w:t>
      </w:r>
    </w:p>
    <w:p w14:paraId="73D34836" w14:textId="77777777" w:rsidR="00A0389E" w:rsidRDefault="00A0389E" w:rsidP="00A0389E">
      <w:pPr>
        <w:pStyle w:val="BodyText"/>
      </w:pPr>
      <w:proofErr w:type="spellStart"/>
      <w:r>
        <w:t>Avivo</w:t>
      </w:r>
      <w:proofErr w:type="spellEnd"/>
      <w:r>
        <w:t xml:space="preserve"> was eligible for </w:t>
      </w:r>
      <w:proofErr w:type="spellStart"/>
      <w:r>
        <w:t>JobKeeper</w:t>
      </w:r>
      <w:proofErr w:type="spellEnd"/>
      <w:r>
        <w:t xml:space="preserve"> for the period April to September 2020; it supported us through multiple lockdowns when services were cancelled and allowed all colleagues to maintain their income.</w:t>
      </w:r>
    </w:p>
    <w:p w14:paraId="0B863D0D" w14:textId="77777777" w:rsidR="00A0389E" w:rsidRDefault="00A0389E" w:rsidP="00A0389E">
      <w:pPr>
        <w:pStyle w:val="BodyText"/>
      </w:pPr>
      <w:r>
        <w:t xml:space="preserve">At the operating level, revenue grew 5% due to growth in the disability sector, where NDIS price caps are insufficient to cover the cost of services. </w:t>
      </w:r>
    </w:p>
    <w:p w14:paraId="37E0D1E6" w14:textId="77777777" w:rsidR="00A0389E" w:rsidRDefault="00A0389E" w:rsidP="00A0389E">
      <w:pPr>
        <w:pStyle w:val="BodyText"/>
      </w:pPr>
      <w:r>
        <w:t xml:space="preserve">Direct costs grew 8% due to high overtime. Our community-based enterprise agreement contains several triggers for overtime which are compounded by the current sector-wide challenge to recruit and retain people. </w:t>
      </w:r>
    </w:p>
    <w:p w14:paraId="4643C6FB" w14:textId="728089D1" w:rsidR="00A0389E" w:rsidRDefault="00A0389E" w:rsidP="00A0389E">
      <w:pPr>
        <w:pStyle w:val="BodyText"/>
      </w:pPr>
      <w:r>
        <w:t xml:space="preserve">Wages growth also exceeded revenue growth due to </w:t>
      </w:r>
      <w:proofErr w:type="spellStart"/>
      <w:r>
        <w:t>Avivo</w:t>
      </w:r>
      <w:proofErr w:type="spellEnd"/>
      <w:r>
        <w:t xml:space="preserve"> frequently providing services beyond the amount funded by NDIS, in situations such as customer change of circumstance, awaiting plan review, or appealing funding decisions.</w:t>
      </w:r>
    </w:p>
    <w:p w14:paraId="68B9459E" w14:textId="09B7FD64" w:rsidR="00A0389E" w:rsidRDefault="00A0389E" w:rsidP="00A0389E">
      <w:pPr>
        <w:pStyle w:val="BodyText"/>
      </w:pPr>
      <w:r>
        <w:lastRenderedPageBreak/>
        <w:t xml:space="preserve">Administration expenses increased 9% due to the recruitment of additional colleagues in the newly formed Practice Support Team, in HR to support diversity in recruitment and retention practices, and in Work Health &amp; Safety and Learning &amp; Development, all of whom are supporting </w:t>
      </w:r>
      <w:proofErr w:type="spellStart"/>
      <w:r>
        <w:t>Avivo</w:t>
      </w:r>
      <w:proofErr w:type="spellEnd"/>
      <w:r>
        <w:t xml:space="preserve"> to build strong quality and safeguarding culture and practices.</w:t>
      </w:r>
    </w:p>
    <w:p w14:paraId="618AB9C9" w14:textId="499C3C09" w:rsidR="00A0389E" w:rsidRDefault="00A0389E" w:rsidP="00A0389E">
      <w:pPr>
        <w:pStyle w:val="BodyText"/>
      </w:pPr>
      <w:r>
        <w:t>We continued our multi-year program of strategic investment in transforming our operating model, transitioning to meet funding requirements, modernising technology, and developing a culture that supports customers and colleagues to live a good life.</w:t>
      </w:r>
    </w:p>
    <w:p w14:paraId="790A7426" w14:textId="0295BCA5" w:rsidR="00A0389E" w:rsidRDefault="00A0389E" w:rsidP="00A0389E">
      <w:pPr>
        <w:pStyle w:val="BodyText"/>
      </w:pPr>
      <w:r>
        <w:t>Overall, a net profit of $</w:t>
      </w:r>
      <w:proofErr w:type="spellStart"/>
      <w:r>
        <w:t>1.8m</w:t>
      </w:r>
      <w:proofErr w:type="spellEnd"/>
      <w:r>
        <w:t xml:space="preserve"> builds on last year’s efforts to bolster our financial reserves enough to withstand the losses that we expect to report in the next couple of years, while we continue to advocate for fairer funding and prices under NDIS and work internally to contain our expenses.</w:t>
      </w:r>
    </w:p>
    <w:p w14:paraId="4572B752" w14:textId="5552CDE2" w:rsidR="00A0389E" w:rsidRDefault="00A0389E" w:rsidP="00A0389E">
      <w:pPr>
        <w:pStyle w:val="Quote"/>
      </w:pPr>
      <w:r>
        <w:t>We continue to advocate for fairer funding.</w:t>
      </w:r>
    </w:p>
    <w:p w14:paraId="6870F9AA" w14:textId="77777777" w:rsidR="00B67DAF" w:rsidRDefault="00B67DAF">
      <w:pPr>
        <w:spacing w:after="160" w:line="259" w:lineRule="auto"/>
        <w:rPr>
          <w:rFonts w:asciiTheme="majorHAnsi" w:eastAsiaTheme="majorEastAsia" w:hAnsiTheme="majorHAnsi" w:cstheme="majorBidi"/>
          <w:color w:val="231F20" w:themeColor="text2"/>
          <w:sz w:val="28"/>
          <w:szCs w:val="24"/>
        </w:rPr>
      </w:pPr>
      <w:r>
        <w:br w:type="page"/>
      </w:r>
    </w:p>
    <w:p w14:paraId="1E8C0695" w14:textId="77CC01E1" w:rsidR="00A0389E" w:rsidRDefault="00A0389E" w:rsidP="00A0389E">
      <w:pPr>
        <w:pStyle w:val="Heading3"/>
      </w:pPr>
      <w:r w:rsidRPr="00A0389E">
        <w:t>Statement of Comprehensive Income</w:t>
      </w:r>
    </w:p>
    <w:tbl>
      <w:tblPr>
        <w:tblStyle w:val="LinedTable"/>
        <w:tblW w:w="5000" w:type="pct"/>
        <w:tblLayout w:type="fixed"/>
        <w:tblLook w:val="0620" w:firstRow="1" w:lastRow="0" w:firstColumn="0" w:lastColumn="0" w:noHBand="1" w:noVBand="1"/>
      </w:tblPr>
      <w:tblGrid>
        <w:gridCol w:w="6521"/>
        <w:gridCol w:w="1898"/>
        <w:gridCol w:w="1899"/>
      </w:tblGrid>
      <w:tr w:rsidR="00A0389E" w:rsidRPr="00A0389E" w14:paraId="6C7B2738" w14:textId="77777777" w:rsidTr="00EA5C32">
        <w:trPr>
          <w:cnfStyle w:val="100000000000" w:firstRow="1" w:lastRow="0" w:firstColumn="0" w:lastColumn="0" w:oddVBand="0" w:evenVBand="0" w:oddHBand="0" w:evenHBand="0" w:firstRowFirstColumn="0" w:firstRowLastColumn="0" w:lastRowFirstColumn="0" w:lastRowLastColumn="0"/>
          <w:cantSplit/>
          <w:tblHeader/>
        </w:trPr>
        <w:tc>
          <w:tcPr>
            <w:tcW w:w="6521" w:type="dxa"/>
          </w:tcPr>
          <w:p w14:paraId="476F84ED" w14:textId="77777777" w:rsidR="00A0389E" w:rsidRPr="00A0389E" w:rsidRDefault="00A0389E" w:rsidP="00A0389E">
            <w:pPr>
              <w:pStyle w:val="TableHeading"/>
              <w:ind w:left="0"/>
            </w:pPr>
          </w:p>
        </w:tc>
        <w:tc>
          <w:tcPr>
            <w:tcW w:w="1898" w:type="dxa"/>
            <w:shd w:val="clear" w:color="auto" w:fill="D9D9D9" w:themeFill="background1" w:themeFillShade="D9"/>
          </w:tcPr>
          <w:p w14:paraId="1C4B5C47" w14:textId="5861B9B1" w:rsidR="00A0389E" w:rsidRPr="00A0389E" w:rsidRDefault="00A0389E" w:rsidP="00A0389E">
            <w:pPr>
              <w:pStyle w:val="TableHeading"/>
              <w:jc w:val="right"/>
            </w:pPr>
            <w:r w:rsidRPr="00A0389E">
              <w:t xml:space="preserve">$’000 </w:t>
            </w:r>
            <w:r>
              <w:br/>
            </w:r>
            <w:r w:rsidRPr="00A0389E">
              <w:t>2021</w:t>
            </w:r>
          </w:p>
        </w:tc>
        <w:tc>
          <w:tcPr>
            <w:tcW w:w="1899" w:type="dxa"/>
          </w:tcPr>
          <w:p w14:paraId="121FE404" w14:textId="39D768F1" w:rsidR="00A0389E" w:rsidRPr="00A0389E" w:rsidRDefault="00A0389E" w:rsidP="00A0389E">
            <w:pPr>
              <w:pStyle w:val="TableHeading"/>
              <w:jc w:val="right"/>
            </w:pPr>
            <w:r w:rsidRPr="00A0389E">
              <w:t>$’000</w:t>
            </w:r>
            <w:r>
              <w:br/>
              <w:t>2020</w:t>
            </w:r>
          </w:p>
        </w:tc>
      </w:tr>
      <w:tr w:rsidR="00A27CCB" w:rsidRPr="00A0389E" w14:paraId="44A6316F" w14:textId="77777777" w:rsidTr="00EA5C32">
        <w:trPr>
          <w:cantSplit/>
        </w:trPr>
        <w:tc>
          <w:tcPr>
            <w:tcW w:w="6521" w:type="dxa"/>
          </w:tcPr>
          <w:p w14:paraId="4F72CDE3" w14:textId="77777777" w:rsidR="00A0389E" w:rsidRPr="00A0389E" w:rsidRDefault="00A0389E" w:rsidP="00A0389E">
            <w:pPr>
              <w:pStyle w:val="TableText"/>
              <w:ind w:left="0"/>
            </w:pPr>
            <w:r w:rsidRPr="00A0389E">
              <w:t>Revenue</w:t>
            </w:r>
          </w:p>
        </w:tc>
        <w:tc>
          <w:tcPr>
            <w:tcW w:w="1898" w:type="dxa"/>
            <w:shd w:val="clear" w:color="auto" w:fill="D9D9D9" w:themeFill="background1" w:themeFillShade="D9"/>
          </w:tcPr>
          <w:p w14:paraId="02515B34" w14:textId="77777777" w:rsidR="00A0389E" w:rsidRPr="00A0389E" w:rsidRDefault="00A0389E" w:rsidP="00A0389E">
            <w:pPr>
              <w:pStyle w:val="TableText"/>
              <w:jc w:val="right"/>
            </w:pPr>
            <w:r w:rsidRPr="00A0389E">
              <w:t>79,571</w:t>
            </w:r>
          </w:p>
        </w:tc>
        <w:tc>
          <w:tcPr>
            <w:tcW w:w="1899" w:type="dxa"/>
          </w:tcPr>
          <w:p w14:paraId="06249649" w14:textId="77777777" w:rsidR="00A0389E" w:rsidRPr="00A0389E" w:rsidRDefault="00A0389E" w:rsidP="00A0389E">
            <w:pPr>
              <w:pStyle w:val="TableText"/>
              <w:jc w:val="right"/>
            </w:pPr>
            <w:r w:rsidRPr="00A0389E">
              <w:t>75,921</w:t>
            </w:r>
          </w:p>
        </w:tc>
      </w:tr>
      <w:tr w:rsidR="00EA5C32" w:rsidRPr="00A0389E" w14:paraId="7B31337B" w14:textId="77777777" w:rsidTr="00EA5C32">
        <w:trPr>
          <w:cantSplit/>
        </w:trPr>
        <w:tc>
          <w:tcPr>
            <w:tcW w:w="6521" w:type="dxa"/>
            <w:tcBorders>
              <w:bottom w:val="single" w:sz="4" w:space="0" w:color="auto"/>
            </w:tcBorders>
          </w:tcPr>
          <w:p w14:paraId="36C341A9" w14:textId="77777777" w:rsidR="00A0389E" w:rsidRPr="00A0389E" w:rsidRDefault="00A0389E" w:rsidP="00A0389E">
            <w:pPr>
              <w:pStyle w:val="TableText"/>
              <w:ind w:left="0"/>
            </w:pPr>
            <w:r w:rsidRPr="00A0389E">
              <w:t>Cost of services</w:t>
            </w:r>
          </w:p>
        </w:tc>
        <w:tc>
          <w:tcPr>
            <w:tcW w:w="1898" w:type="dxa"/>
            <w:tcBorders>
              <w:bottom w:val="single" w:sz="4" w:space="0" w:color="auto"/>
            </w:tcBorders>
            <w:shd w:val="clear" w:color="auto" w:fill="D9D9D9" w:themeFill="background1" w:themeFillShade="D9"/>
          </w:tcPr>
          <w:p w14:paraId="7BBAD2D9" w14:textId="77777777" w:rsidR="00A0389E" w:rsidRPr="00A0389E" w:rsidRDefault="00A0389E" w:rsidP="00A0389E">
            <w:pPr>
              <w:pStyle w:val="TableText"/>
              <w:jc w:val="right"/>
            </w:pPr>
            <w:r w:rsidRPr="00A0389E">
              <w:t>(56,291)</w:t>
            </w:r>
          </w:p>
        </w:tc>
        <w:tc>
          <w:tcPr>
            <w:tcW w:w="1899" w:type="dxa"/>
            <w:tcBorders>
              <w:bottom w:val="single" w:sz="4" w:space="0" w:color="auto"/>
            </w:tcBorders>
          </w:tcPr>
          <w:p w14:paraId="4937C299" w14:textId="77777777" w:rsidR="00A0389E" w:rsidRPr="00A0389E" w:rsidRDefault="00A0389E" w:rsidP="00A0389E">
            <w:pPr>
              <w:pStyle w:val="TableText"/>
              <w:jc w:val="right"/>
            </w:pPr>
            <w:r w:rsidRPr="00A0389E">
              <w:t>(51,981)</w:t>
            </w:r>
          </w:p>
        </w:tc>
      </w:tr>
      <w:tr w:rsidR="00EA5C32" w:rsidRPr="00A0389E" w14:paraId="3780B13D" w14:textId="77777777" w:rsidTr="00EA5C32">
        <w:trPr>
          <w:cantSplit/>
        </w:trPr>
        <w:tc>
          <w:tcPr>
            <w:tcW w:w="6521" w:type="dxa"/>
            <w:tcBorders>
              <w:top w:val="single" w:sz="4" w:space="0" w:color="auto"/>
              <w:bottom w:val="single" w:sz="4" w:space="0" w:color="auto"/>
            </w:tcBorders>
          </w:tcPr>
          <w:p w14:paraId="2990F5F6" w14:textId="77777777" w:rsidR="00A0389E" w:rsidRPr="00A0389E" w:rsidRDefault="00A0389E" w:rsidP="00A0389E">
            <w:pPr>
              <w:pStyle w:val="TableText"/>
              <w:ind w:left="0"/>
              <w:rPr>
                <w:b/>
                <w:bCs/>
              </w:rPr>
            </w:pPr>
            <w:r w:rsidRPr="00A0389E">
              <w:rPr>
                <w:b/>
                <w:bCs/>
              </w:rPr>
              <w:t xml:space="preserve">Gross surplus </w:t>
            </w:r>
          </w:p>
        </w:tc>
        <w:tc>
          <w:tcPr>
            <w:tcW w:w="1898" w:type="dxa"/>
            <w:tcBorders>
              <w:top w:val="single" w:sz="4" w:space="0" w:color="auto"/>
              <w:bottom w:val="single" w:sz="4" w:space="0" w:color="auto"/>
            </w:tcBorders>
            <w:shd w:val="clear" w:color="auto" w:fill="D9D9D9" w:themeFill="background1" w:themeFillShade="D9"/>
          </w:tcPr>
          <w:p w14:paraId="3938B702" w14:textId="77777777" w:rsidR="00A0389E" w:rsidRPr="00A0389E" w:rsidRDefault="00A0389E" w:rsidP="00A0389E">
            <w:pPr>
              <w:pStyle w:val="TableText"/>
              <w:jc w:val="right"/>
              <w:rPr>
                <w:b/>
                <w:bCs/>
              </w:rPr>
            </w:pPr>
            <w:r w:rsidRPr="00A0389E">
              <w:rPr>
                <w:b/>
                <w:bCs/>
              </w:rPr>
              <w:t>23,280</w:t>
            </w:r>
          </w:p>
        </w:tc>
        <w:tc>
          <w:tcPr>
            <w:tcW w:w="1899" w:type="dxa"/>
            <w:tcBorders>
              <w:top w:val="single" w:sz="4" w:space="0" w:color="auto"/>
              <w:bottom w:val="single" w:sz="4" w:space="0" w:color="auto"/>
            </w:tcBorders>
          </w:tcPr>
          <w:p w14:paraId="4FD19CFF" w14:textId="77777777" w:rsidR="00A0389E" w:rsidRPr="00A0389E" w:rsidRDefault="00A0389E" w:rsidP="00A0389E">
            <w:pPr>
              <w:pStyle w:val="TableText"/>
              <w:jc w:val="right"/>
              <w:rPr>
                <w:b/>
                <w:bCs/>
              </w:rPr>
            </w:pPr>
            <w:r w:rsidRPr="00A0389E">
              <w:rPr>
                <w:b/>
                <w:bCs/>
              </w:rPr>
              <w:t>23,940</w:t>
            </w:r>
          </w:p>
        </w:tc>
      </w:tr>
      <w:tr w:rsidR="00EA5C32" w:rsidRPr="00A0389E" w14:paraId="164512F4" w14:textId="77777777" w:rsidTr="00EA5C32">
        <w:trPr>
          <w:cantSplit/>
        </w:trPr>
        <w:tc>
          <w:tcPr>
            <w:tcW w:w="6521" w:type="dxa"/>
            <w:tcBorders>
              <w:top w:val="single" w:sz="4" w:space="0" w:color="auto"/>
            </w:tcBorders>
          </w:tcPr>
          <w:p w14:paraId="5F1C3964" w14:textId="77777777" w:rsidR="00A0389E" w:rsidRPr="00A0389E" w:rsidRDefault="00A0389E" w:rsidP="00A0389E">
            <w:pPr>
              <w:pStyle w:val="TableText"/>
              <w:ind w:left="0"/>
            </w:pPr>
            <w:r w:rsidRPr="00A0389E">
              <w:t>Other operating income</w:t>
            </w:r>
          </w:p>
        </w:tc>
        <w:tc>
          <w:tcPr>
            <w:tcW w:w="1898" w:type="dxa"/>
            <w:tcBorders>
              <w:top w:val="single" w:sz="4" w:space="0" w:color="auto"/>
            </w:tcBorders>
            <w:shd w:val="clear" w:color="auto" w:fill="D9D9D9" w:themeFill="background1" w:themeFillShade="D9"/>
          </w:tcPr>
          <w:p w14:paraId="58D28F10" w14:textId="77777777" w:rsidR="00A0389E" w:rsidRPr="00A0389E" w:rsidRDefault="00A0389E" w:rsidP="00A0389E">
            <w:pPr>
              <w:pStyle w:val="TableText"/>
              <w:jc w:val="right"/>
            </w:pPr>
            <w:r w:rsidRPr="00A0389E">
              <w:t>10,714</w:t>
            </w:r>
          </w:p>
        </w:tc>
        <w:tc>
          <w:tcPr>
            <w:tcW w:w="1899" w:type="dxa"/>
            <w:tcBorders>
              <w:top w:val="single" w:sz="4" w:space="0" w:color="auto"/>
            </w:tcBorders>
          </w:tcPr>
          <w:p w14:paraId="20C73B92" w14:textId="77777777" w:rsidR="00A0389E" w:rsidRPr="00A0389E" w:rsidRDefault="00A0389E" w:rsidP="00A0389E">
            <w:pPr>
              <w:pStyle w:val="TableText"/>
              <w:jc w:val="right"/>
            </w:pPr>
            <w:r w:rsidRPr="00A0389E">
              <w:t>9,784</w:t>
            </w:r>
          </w:p>
        </w:tc>
      </w:tr>
      <w:tr w:rsidR="00A27CCB" w:rsidRPr="00A0389E" w14:paraId="7B067758" w14:textId="77777777" w:rsidTr="00EA5C32">
        <w:trPr>
          <w:cantSplit/>
        </w:trPr>
        <w:tc>
          <w:tcPr>
            <w:tcW w:w="6521" w:type="dxa"/>
          </w:tcPr>
          <w:p w14:paraId="72F4D5FB" w14:textId="77777777" w:rsidR="00A0389E" w:rsidRPr="00A0389E" w:rsidRDefault="00A0389E" w:rsidP="00A0389E">
            <w:pPr>
              <w:pStyle w:val="TableText"/>
              <w:ind w:left="0"/>
            </w:pPr>
            <w:r w:rsidRPr="00A0389E">
              <w:t xml:space="preserve">Administrative expenses </w:t>
            </w:r>
          </w:p>
        </w:tc>
        <w:tc>
          <w:tcPr>
            <w:tcW w:w="1898" w:type="dxa"/>
            <w:shd w:val="clear" w:color="auto" w:fill="D9D9D9" w:themeFill="background1" w:themeFillShade="D9"/>
          </w:tcPr>
          <w:p w14:paraId="35C1F8FE" w14:textId="77777777" w:rsidR="00A0389E" w:rsidRPr="00A0389E" w:rsidRDefault="00A0389E" w:rsidP="00A0389E">
            <w:pPr>
              <w:pStyle w:val="TableText"/>
              <w:jc w:val="right"/>
            </w:pPr>
            <w:r w:rsidRPr="00A0389E">
              <w:t>(27,820)</w:t>
            </w:r>
          </w:p>
        </w:tc>
        <w:tc>
          <w:tcPr>
            <w:tcW w:w="1899" w:type="dxa"/>
          </w:tcPr>
          <w:p w14:paraId="6D79F705" w14:textId="77777777" w:rsidR="00A0389E" w:rsidRPr="00A0389E" w:rsidRDefault="00A0389E" w:rsidP="00A0389E">
            <w:pPr>
              <w:pStyle w:val="TableText"/>
              <w:jc w:val="right"/>
            </w:pPr>
            <w:r w:rsidRPr="00A0389E">
              <w:t>(25,569)</w:t>
            </w:r>
          </w:p>
        </w:tc>
      </w:tr>
      <w:tr w:rsidR="00EA5C32" w:rsidRPr="00A0389E" w14:paraId="37539225" w14:textId="77777777" w:rsidTr="00EA5C32">
        <w:trPr>
          <w:cantSplit/>
        </w:trPr>
        <w:tc>
          <w:tcPr>
            <w:tcW w:w="6521" w:type="dxa"/>
            <w:tcBorders>
              <w:bottom w:val="single" w:sz="4" w:space="0" w:color="auto"/>
            </w:tcBorders>
          </w:tcPr>
          <w:p w14:paraId="421D66FA" w14:textId="77777777" w:rsidR="00A0389E" w:rsidRPr="00A0389E" w:rsidRDefault="00A0389E" w:rsidP="00A0389E">
            <w:pPr>
              <w:pStyle w:val="TableText"/>
              <w:ind w:left="0"/>
            </w:pPr>
            <w:r w:rsidRPr="00A0389E">
              <w:t>Project expenses</w:t>
            </w:r>
          </w:p>
        </w:tc>
        <w:tc>
          <w:tcPr>
            <w:tcW w:w="1898" w:type="dxa"/>
            <w:tcBorders>
              <w:bottom w:val="single" w:sz="4" w:space="0" w:color="auto"/>
            </w:tcBorders>
            <w:shd w:val="clear" w:color="auto" w:fill="D9D9D9" w:themeFill="background1" w:themeFillShade="D9"/>
          </w:tcPr>
          <w:p w14:paraId="7D044FF8" w14:textId="77777777" w:rsidR="00A0389E" w:rsidRPr="00A0389E" w:rsidRDefault="00A0389E" w:rsidP="00A0389E">
            <w:pPr>
              <w:pStyle w:val="TableText"/>
              <w:jc w:val="right"/>
            </w:pPr>
            <w:r w:rsidRPr="00A0389E">
              <w:t>(4,516)</w:t>
            </w:r>
          </w:p>
        </w:tc>
        <w:tc>
          <w:tcPr>
            <w:tcW w:w="1899" w:type="dxa"/>
            <w:tcBorders>
              <w:bottom w:val="single" w:sz="4" w:space="0" w:color="auto"/>
            </w:tcBorders>
          </w:tcPr>
          <w:p w14:paraId="297CE46A" w14:textId="77777777" w:rsidR="00A0389E" w:rsidRPr="00A0389E" w:rsidRDefault="00A0389E" w:rsidP="00A0389E">
            <w:pPr>
              <w:pStyle w:val="TableText"/>
              <w:jc w:val="right"/>
            </w:pPr>
            <w:r w:rsidRPr="00A0389E">
              <w:t>(4,786)</w:t>
            </w:r>
          </w:p>
        </w:tc>
      </w:tr>
      <w:tr w:rsidR="00EA5C32" w:rsidRPr="00A0389E" w14:paraId="19552737" w14:textId="77777777" w:rsidTr="00EA5C32">
        <w:trPr>
          <w:cantSplit/>
        </w:trPr>
        <w:tc>
          <w:tcPr>
            <w:tcW w:w="6521" w:type="dxa"/>
            <w:tcBorders>
              <w:top w:val="single" w:sz="4" w:space="0" w:color="auto"/>
              <w:bottom w:val="single" w:sz="4" w:space="0" w:color="auto"/>
            </w:tcBorders>
          </w:tcPr>
          <w:p w14:paraId="1C1A74E7" w14:textId="77777777" w:rsidR="00A0389E" w:rsidRPr="00A0389E" w:rsidRDefault="00A0389E" w:rsidP="00A0389E">
            <w:pPr>
              <w:pStyle w:val="TableText"/>
              <w:ind w:left="0"/>
              <w:rPr>
                <w:b/>
                <w:bCs/>
              </w:rPr>
            </w:pPr>
            <w:r w:rsidRPr="00A0389E">
              <w:rPr>
                <w:b/>
                <w:bCs/>
              </w:rPr>
              <w:t>Operating surplus</w:t>
            </w:r>
          </w:p>
        </w:tc>
        <w:tc>
          <w:tcPr>
            <w:tcW w:w="1898" w:type="dxa"/>
            <w:tcBorders>
              <w:top w:val="single" w:sz="4" w:space="0" w:color="auto"/>
              <w:bottom w:val="single" w:sz="4" w:space="0" w:color="auto"/>
            </w:tcBorders>
            <w:shd w:val="clear" w:color="auto" w:fill="D9D9D9" w:themeFill="background1" w:themeFillShade="D9"/>
          </w:tcPr>
          <w:p w14:paraId="3E038521" w14:textId="77777777" w:rsidR="00A0389E" w:rsidRPr="00A0389E" w:rsidRDefault="00A0389E" w:rsidP="00A0389E">
            <w:pPr>
              <w:pStyle w:val="TableText"/>
              <w:jc w:val="right"/>
              <w:rPr>
                <w:b/>
                <w:bCs/>
              </w:rPr>
            </w:pPr>
            <w:r w:rsidRPr="00A0389E">
              <w:rPr>
                <w:b/>
                <w:bCs/>
              </w:rPr>
              <w:t>1,658</w:t>
            </w:r>
          </w:p>
        </w:tc>
        <w:tc>
          <w:tcPr>
            <w:tcW w:w="1899" w:type="dxa"/>
            <w:tcBorders>
              <w:top w:val="single" w:sz="4" w:space="0" w:color="auto"/>
              <w:bottom w:val="single" w:sz="4" w:space="0" w:color="auto"/>
            </w:tcBorders>
          </w:tcPr>
          <w:p w14:paraId="28171A35" w14:textId="77777777" w:rsidR="00A0389E" w:rsidRPr="00A0389E" w:rsidRDefault="00A0389E" w:rsidP="00A0389E">
            <w:pPr>
              <w:pStyle w:val="TableText"/>
              <w:jc w:val="right"/>
              <w:rPr>
                <w:b/>
                <w:bCs/>
              </w:rPr>
            </w:pPr>
            <w:r w:rsidRPr="00A0389E">
              <w:rPr>
                <w:b/>
                <w:bCs/>
              </w:rPr>
              <w:t>3,369</w:t>
            </w:r>
          </w:p>
        </w:tc>
      </w:tr>
      <w:tr w:rsidR="00EA5C32" w:rsidRPr="00A0389E" w14:paraId="7A0D0F7D" w14:textId="77777777" w:rsidTr="00EA5C32">
        <w:trPr>
          <w:cantSplit/>
        </w:trPr>
        <w:tc>
          <w:tcPr>
            <w:tcW w:w="6521" w:type="dxa"/>
            <w:tcBorders>
              <w:top w:val="single" w:sz="4" w:space="0" w:color="auto"/>
            </w:tcBorders>
          </w:tcPr>
          <w:p w14:paraId="72CE3927" w14:textId="77777777" w:rsidR="00A0389E" w:rsidRPr="00A0389E" w:rsidRDefault="00A0389E" w:rsidP="00A0389E">
            <w:pPr>
              <w:pStyle w:val="TableText"/>
              <w:ind w:left="0"/>
            </w:pPr>
            <w:r w:rsidRPr="00A0389E">
              <w:t>Finance income</w:t>
            </w:r>
          </w:p>
        </w:tc>
        <w:tc>
          <w:tcPr>
            <w:tcW w:w="1898" w:type="dxa"/>
            <w:tcBorders>
              <w:top w:val="single" w:sz="4" w:space="0" w:color="auto"/>
            </w:tcBorders>
            <w:shd w:val="clear" w:color="auto" w:fill="D9D9D9" w:themeFill="background1" w:themeFillShade="D9"/>
          </w:tcPr>
          <w:p w14:paraId="6C7374A4" w14:textId="77777777" w:rsidR="00A0389E" w:rsidRPr="00A0389E" w:rsidRDefault="00A0389E" w:rsidP="00A0389E">
            <w:pPr>
              <w:pStyle w:val="TableText"/>
              <w:jc w:val="right"/>
            </w:pPr>
            <w:r w:rsidRPr="00A0389E">
              <w:t xml:space="preserve"> 207 </w:t>
            </w:r>
          </w:p>
        </w:tc>
        <w:tc>
          <w:tcPr>
            <w:tcW w:w="1899" w:type="dxa"/>
            <w:tcBorders>
              <w:top w:val="single" w:sz="4" w:space="0" w:color="auto"/>
            </w:tcBorders>
          </w:tcPr>
          <w:p w14:paraId="244EB1F0" w14:textId="77777777" w:rsidR="00A0389E" w:rsidRPr="00A0389E" w:rsidRDefault="00A0389E" w:rsidP="00A0389E">
            <w:pPr>
              <w:pStyle w:val="TableText"/>
              <w:jc w:val="right"/>
            </w:pPr>
            <w:r w:rsidRPr="00A0389E">
              <w:t>457</w:t>
            </w:r>
          </w:p>
        </w:tc>
      </w:tr>
      <w:tr w:rsidR="00EA5C32" w:rsidRPr="00A0389E" w14:paraId="729B6DD3" w14:textId="77777777" w:rsidTr="00EA5C32">
        <w:trPr>
          <w:cantSplit/>
        </w:trPr>
        <w:tc>
          <w:tcPr>
            <w:tcW w:w="6521" w:type="dxa"/>
            <w:tcBorders>
              <w:bottom w:val="single" w:sz="4" w:space="0" w:color="auto"/>
            </w:tcBorders>
          </w:tcPr>
          <w:p w14:paraId="62181D4D" w14:textId="77777777" w:rsidR="00A0389E" w:rsidRPr="00A0389E" w:rsidRDefault="00A0389E" w:rsidP="00A0389E">
            <w:pPr>
              <w:pStyle w:val="TableText"/>
              <w:ind w:left="0"/>
            </w:pPr>
            <w:r w:rsidRPr="00A0389E">
              <w:t>Finance expenses</w:t>
            </w:r>
          </w:p>
        </w:tc>
        <w:tc>
          <w:tcPr>
            <w:tcW w:w="1898" w:type="dxa"/>
            <w:tcBorders>
              <w:bottom w:val="single" w:sz="4" w:space="0" w:color="auto"/>
            </w:tcBorders>
            <w:shd w:val="clear" w:color="auto" w:fill="D9D9D9" w:themeFill="background1" w:themeFillShade="D9"/>
          </w:tcPr>
          <w:p w14:paraId="52290C95" w14:textId="77777777" w:rsidR="00A0389E" w:rsidRPr="00A0389E" w:rsidRDefault="00A0389E" w:rsidP="00A0389E">
            <w:pPr>
              <w:pStyle w:val="TableText"/>
              <w:jc w:val="right"/>
            </w:pPr>
            <w:r w:rsidRPr="00A0389E">
              <w:t xml:space="preserve">(20) </w:t>
            </w:r>
          </w:p>
        </w:tc>
        <w:tc>
          <w:tcPr>
            <w:tcW w:w="1899" w:type="dxa"/>
            <w:tcBorders>
              <w:bottom w:val="single" w:sz="4" w:space="0" w:color="auto"/>
            </w:tcBorders>
          </w:tcPr>
          <w:p w14:paraId="0BD48267" w14:textId="77777777" w:rsidR="00A0389E" w:rsidRPr="00A0389E" w:rsidRDefault="00A0389E" w:rsidP="00A0389E">
            <w:pPr>
              <w:pStyle w:val="TableText"/>
              <w:jc w:val="right"/>
            </w:pPr>
            <w:r w:rsidRPr="00A0389E">
              <w:t>(14)</w:t>
            </w:r>
          </w:p>
        </w:tc>
      </w:tr>
      <w:tr w:rsidR="00EA5C32" w:rsidRPr="00A0389E" w14:paraId="14A96A0D" w14:textId="77777777" w:rsidTr="00EA5C32">
        <w:trPr>
          <w:cantSplit/>
        </w:trPr>
        <w:tc>
          <w:tcPr>
            <w:tcW w:w="6521" w:type="dxa"/>
            <w:tcBorders>
              <w:top w:val="single" w:sz="4" w:space="0" w:color="auto"/>
              <w:bottom w:val="single" w:sz="4" w:space="0" w:color="auto"/>
            </w:tcBorders>
          </w:tcPr>
          <w:p w14:paraId="4FD131A3" w14:textId="57629744" w:rsidR="00A0389E" w:rsidRPr="00A0389E" w:rsidRDefault="00A0389E" w:rsidP="00A0389E">
            <w:pPr>
              <w:pStyle w:val="TableText"/>
              <w:ind w:left="0"/>
              <w:rPr>
                <w:b/>
                <w:bCs/>
              </w:rPr>
            </w:pPr>
            <w:r w:rsidRPr="00A0389E">
              <w:rPr>
                <w:b/>
                <w:bCs/>
              </w:rPr>
              <w:t>Surplus before taxes from continuing operations</w:t>
            </w:r>
          </w:p>
        </w:tc>
        <w:tc>
          <w:tcPr>
            <w:tcW w:w="1898" w:type="dxa"/>
            <w:tcBorders>
              <w:top w:val="single" w:sz="4" w:space="0" w:color="auto"/>
              <w:bottom w:val="single" w:sz="4" w:space="0" w:color="auto"/>
            </w:tcBorders>
            <w:shd w:val="clear" w:color="auto" w:fill="D9D9D9" w:themeFill="background1" w:themeFillShade="D9"/>
          </w:tcPr>
          <w:p w14:paraId="276A08F7" w14:textId="7C51F5B9" w:rsidR="00A0389E" w:rsidRPr="00A0389E" w:rsidRDefault="00A0389E" w:rsidP="00A0389E">
            <w:pPr>
              <w:pStyle w:val="TableText"/>
              <w:jc w:val="right"/>
              <w:rPr>
                <w:b/>
                <w:bCs/>
              </w:rPr>
            </w:pPr>
            <w:r w:rsidRPr="00A0389E">
              <w:rPr>
                <w:b/>
                <w:bCs/>
              </w:rPr>
              <w:t>1,845</w:t>
            </w:r>
          </w:p>
        </w:tc>
        <w:tc>
          <w:tcPr>
            <w:tcW w:w="1899" w:type="dxa"/>
            <w:tcBorders>
              <w:top w:val="single" w:sz="4" w:space="0" w:color="auto"/>
              <w:bottom w:val="single" w:sz="4" w:space="0" w:color="auto"/>
            </w:tcBorders>
          </w:tcPr>
          <w:p w14:paraId="29E6C1E6" w14:textId="6F4CBB3B" w:rsidR="00A0389E" w:rsidRPr="00A0389E" w:rsidRDefault="00A0389E" w:rsidP="00A0389E">
            <w:pPr>
              <w:pStyle w:val="TableText"/>
              <w:jc w:val="right"/>
              <w:rPr>
                <w:b/>
                <w:bCs/>
              </w:rPr>
            </w:pPr>
            <w:r w:rsidRPr="00A0389E">
              <w:rPr>
                <w:b/>
                <w:bCs/>
              </w:rPr>
              <w:t>3,812</w:t>
            </w:r>
          </w:p>
        </w:tc>
      </w:tr>
      <w:tr w:rsidR="00A0389E" w:rsidRPr="00A0389E" w14:paraId="20C146E8" w14:textId="77777777" w:rsidTr="00EA5C32">
        <w:trPr>
          <w:cantSplit/>
        </w:trPr>
        <w:tc>
          <w:tcPr>
            <w:tcW w:w="6521" w:type="dxa"/>
            <w:tcBorders>
              <w:top w:val="single" w:sz="4" w:space="0" w:color="auto"/>
              <w:bottom w:val="single" w:sz="4" w:space="0" w:color="auto"/>
            </w:tcBorders>
          </w:tcPr>
          <w:p w14:paraId="425631DD" w14:textId="77777777" w:rsidR="00A0389E" w:rsidRPr="00A0389E" w:rsidRDefault="00A0389E" w:rsidP="00A0389E">
            <w:pPr>
              <w:pStyle w:val="TableText"/>
              <w:ind w:left="0"/>
            </w:pPr>
            <w:r w:rsidRPr="00A0389E">
              <w:t>Income tax expense</w:t>
            </w:r>
          </w:p>
        </w:tc>
        <w:tc>
          <w:tcPr>
            <w:tcW w:w="1898" w:type="dxa"/>
            <w:tcBorders>
              <w:top w:val="single" w:sz="4" w:space="0" w:color="auto"/>
              <w:bottom w:val="single" w:sz="4" w:space="0" w:color="auto"/>
            </w:tcBorders>
            <w:shd w:val="clear" w:color="auto" w:fill="D9D9D9" w:themeFill="background1" w:themeFillShade="D9"/>
          </w:tcPr>
          <w:p w14:paraId="7FC3CD83" w14:textId="77777777" w:rsidR="00A0389E" w:rsidRPr="00A0389E" w:rsidRDefault="00A0389E" w:rsidP="00A0389E">
            <w:pPr>
              <w:pStyle w:val="TableText"/>
              <w:jc w:val="right"/>
            </w:pPr>
            <w:r w:rsidRPr="00A0389E">
              <w:t>–</w:t>
            </w:r>
          </w:p>
        </w:tc>
        <w:tc>
          <w:tcPr>
            <w:tcW w:w="1899" w:type="dxa"/>
            <w:tcBorders>
              <w:top w:val="single" w:sz="4" w:space="0" w:color="auto"/>
              <w:bottom w:val="single" w:sz="4" w:space="0" w:color="auto"/>
            </w:tcBorders>
          </w:tcPr>
          <w:p w14:paraId="15B01FD1" w14:textId="77777777" w:rsidR="00A0389E" w:rsidRPr="00A0389E" w:rsidRDefault="00A0389E" w:rsidP="00A0389E">
            <w:pPr>
              <w:pStyle w:val="TableText"/>
              <w:jc w:val="right"/>
            </w:pPr>
            <w:r w:rsidRPr="00A0389E">
              <w:t>–</w:t>
            </w:r>
          </w:p>
        </w:tc>
      </w:tr>
      <w:tr w:rsidR="00EA5C32" w:rsidRPr="00A0389E" w14:paraId="06110869" w14:textId="77777777" w:rsidTr="00EA5C32">
        <w:trPr>
          <w:cantSplit/>
        </w:trPr>
        <w:tc>
          <w:tcPr>
            <w:tcW w:w="6521" w:type="dxa"/>
            <w:tcBorders>
              <w:top w:val="single" w:sz="4" w:space="0" w:color="auto"/>
              <w:bottom w:val="single" w:sz="4" w:space="0" w:color="auto"/>
            </w:tcBorders>
          </w:tcPr>
          <w:p w14:paraId="31C9EBAD" w14:textId="4C23040D" w:rsidR="00A0389E" w:rsidRPr="00A0389E" w:rsidRDefault="00A0389E" w:rsidP="00A0389E">
            <w:pPr>
              <w:pStyle w:val="TableText"/>
              <w:ind w:left="0"/>
              <w:rPr>
                <w:b/>
                <w:bCs/>
              </w:rPr>
            </w:pPr>
            <w:r w:rsidRPr="00A0389E">
              <w:rPr>
                <w:b/>
                <w:bCs/>
              </w:rPr>
              <w:t>Surplus after taxes from continuing operations</w:t>
            </w:r>
          </w:p>
        </w:tc>
        <w:tc>
          <w:tcPr>
            <w:tcW w:w="1898" w:type="dxa"/>
            <w:tcBorders>
              <w:top w:val="single" w:sz="4" w:space="0" w:color="auto"/>
              <w:bottom w:val="single" w:sz="4" w:space="0" w:color="auto"/>
            </w:tcBorders>
            <w:shd w:val="clear" w:color="auto" w:fill="D9D9D9" w:themeFill="background1" w:themeFillShade="D9"/>
          </w:tcPr>
          <w:p w14:paraId="2A632AEF" w14:textId="18D7007A" w:rsidR="00A0389E" w:rsidRPr="00A0389E" w:rsidRDefault="00A0389E" w:rsidP="00A0389E">
            <w:pPr>
              <w:pStyle w:val="TableText"/>
              <w:jc w:val="right"/>
              <w:rPr>
                <w:b/>
                <w:bCs/>
              </w:rPr>
            </w:pPr>
            <w:r w:rsidRPr="00A0389E">
              <w:rPr>
                <w:b/>
                <w:bCs/>
              </w:rPr>
              <w:t>1,845</w:t>
            </w:r>
          </w:p>
        </w:tc>
        <w:tc>
          <w:tcPr>
            <w:tcW w:w="1899" w:type="dxa"/>
            <w:tcBorders>
              <w:top w:val="single" w:sz="4" w:space="0" w:color="auto"/>
              <w:bottom w:val="single" w:sz="4" w:space="0" w:color="auto"/>
            </w:tcBorders>
          </w:tcPr>
          <w:p w14:paraId="3972D98F" w14:textId="0B3A0BC2" w:rsidR="00A0389E" w:rsidRPr="00A0389E" w:rsidRDefault="00A0389E" w:rsidP="00A0389E">
            <w:pPr>
              <w:pStyle w:val="TableText"/>
              <w:jc w:val="right"/>
              <w:rPr>
                <w:b/>
                <w:bCs/>
              </w:rPr>
            </w:pPr>
            <w:r w:rsidRPr="00A0389E">
              <w:rPr>
                <w:b/>
                <w:bCs/>
              </w:rPr>
              <w:t>3,812</w:t>
            </w:r>
          </w:p>
        </w:tc>
      </w:tr>
      <w:tr w:rsidR="00EA5C32" w:rsidRPr="00A0389E" w14:paraId="5A3D413E" w14:textId="77777777" w:rsidTr="00EA5C32">
        <w:trPr>
          <w:cantSplit/>
        </w:trPr>
        <w:tc>
          <w:tcPr>
            <w:tcW w:w="6521" w:type="dxa"/>
            <w:tcBorders>
              <w:top w:val="single" w:sz="4" w:space="0" w:color="auto"/>
            </w:tcBorders>
          </w:tcPr>
          <w:p w14:paraId="567C663B" w14:textId="77777777" w:rsidR="00A0389E" w:rsidRPr="00A0389E" w:rsidRDefault="00A0389E" w:rsidP="00A0389E">
            <w:pPr>
              <w:pStyle w:val="TableText"/>
              <w:ind w:left="0"/>
              <w:rPr>
                <w:b/>
                <w:bCs/>
              </w:rPr>
            </w:pPr>
            <w:r w:rsidRPr="00A0389E">
              <w:rPr>
                <w:b/>
                <w:bCs/>
              </w:rPr>
              <w:t>Other comprehensive income</w:t>
            </w:r>
          </w:p>
        </w:tc>
        <w:tc>
          <w:tcPr>
            <w:tcW w:w="1898" w:type="dxa"/>
            <w:tcBorders>
              <w:top w:val="single" w:sz="4" w:space="0" w:color="auto"/>
            </w:tcBorders>
            <w:shd w:val="clear" w:color="auto" w:fill="D9D9D9" w:themeFill="background1" w:themeFillShade="D9"/>
          </w:tcPr>
          <w:p w14:paraId="7D6AC736" w14:textId="77777777" w:rsidR="00A0389E" w:rsidRPr="00A0389E" w:rsidRDefault="00A0389E" w:rsidP="00A0389E">
            <w:pPr>
              <w:pStyle w:val="TableText"/>
              <w:jc w:val="right"/>
              <w:rPr>
                <w:b/>
                <w:bCs/>
              </w:rPr>
            </w:pPr>
          </w:p>
        </w:tc>
        <w:tc>
          <w:tcPr>
            <w:tcW w:w="1899" w:type="dxa"/>
            <w:tcBorders>
              <w:top w:val="single" w:sz="4" w:space="0" w:color="auto"/>
            </w:tcBorders>
          </w:tcPr>
          <w:p w14:paraId="04696466" w14:textId="77777777" w:rsidR="00A0389E" w:rsidRPr="00A0389E" w:rsidRDefault="00A0389E" w:rsidP="00A0389E">
            <w:pPr>
              <w:pStyle w:val="TableText"/>
              <w:jc w:val="right"/>
              <w:rPr>
                <w:b/>
                <w:bCs/>
              </w:rPr>
            </w:pPr>
          </w:p>
        </w:tc>
      </w:tr>
      <w:tr w:rsidR="00A0389E" w:rsidRPr="00A0389E" w14:paraId="44A10653" w14:textId="77777777" w:rsidTr="00EA5C32">
        <w:trPr>
          <w:cantSplit/>
        </w:trPr>
        <w:tc>
          <w:tcPr>
            <w:tcW w:w="6521" w:type="dxa"/>
            <w:tcBorders>
              <w:bottom w:val="single" w:sz="4" w:space="0" w:color="auto"/>
            </w:tcBorders>
          </w:tcPr>
          <w:p w14:paraId="7AFCDD75" w14:textId="77777777" w:rsidR="00A0389E" w:rsidRPr="00A0389E" w:rsidRDefault="00A0389E" w:rsidP="00A0389E">
            <w:pPr>
              <w:pStyle w:val="TableText"/>
              <w:ind w:left="0"/>
            </w:pPr>
            <w:r w:rsidRPr="00A0389E">
              <w:t>Revaluation of land and buildings</w:t>
            </w:r>
          </w:p>
        </w:tc>
        <w:tc>
          <w:tcPr>
            <w:tcW w:w="1898" w:type="dxa"/>
            <w:tcBorders>
              <w:bottom w:val="single" w:sz="4" w:space="0" w:color="auto"/>
            </w:tcBorders>
            <w:shd w:val="clear" w:color="auto" w:fill="D9D9D9" w:themeFill="background1" w:themeFillShade="D9"/>
          </w:tcPr>
          <w:p w14:paraId="51C8CDF6" w14:textId="77777777" w:rsidR="00A0389E" w:rsidRPr="00A0389E" w:rsidRDefault="00A0389E" w:rsidP="00A0389E">
            <w:pPr>
              <w:pStyle w:val="TableText"/>
              <w:jc w:val="right"/>
            </w:pPr>
            <w:r w:rsidRPr="00A0389E">
              <w:t>29</w:t>
            </w:r>
          </w:p>
        </w:tc>
        <w:tc>
          <w:tcPr>
            <w:tcW w:w="1899" w:type="dxa"/>
            <w:tcBorders>
              <w:bottom w:val="single" w:sz="4" w:space="0" w:color="auto"/>
            </w:tcBorders>
          </w:tcPr>
          <w:p w14:paraId="1F9224F8" w14:textId="77777777" w:rsidR="00A0389E" w:rsidRPr="00A0389E" w:rsidRDefault="00A0389E" w:rsidP="00A0389E">
            <w:pPr>
              <w:pStyle w:val="TableText"/>
              <w:jc w:val="right"/>
            </w:pPr>
            <w:r w:rsidRPr="00A0389E">
              <w:t>(20)</w:t>
            </w:r>
          </w:p>
        </w:tc>
      </w:tr>
      <w:tr w:rsidR="00A0389E" w:rsidRPr="00A0389E" w14:paraId="403A0DEC" w14:textId="77777777" w:rsidTr="00EA5C32">
        <w:trPr>
          <w:cantSplit/>
        </w:trPr>
        <w:tc>
          <w:tcPr>
            <w:tcW w:w="6521" w:type="dxa"/>
            <w:tcBorders>
              <w:top w:val="single" w:sz="4" w:space="0" w:color="auto"/>
              <w:bottom w:val="single" w:sz="4" w:space="0" w:color="auto"/>
            </w:tcBorders>
          </w:tcPr>
          <w:p w14:paraId="707C7BE3" w14:textId="77777777" w:rsidR="00A0389E" w:rsidRPr="00A0389E" w:rsidRDefault="00A0389E" w:rsidP="00A0389E">
            <w:pPr>
              <w:pStyle w:val="TableText"/>
              <w:ind w:left="0"/>
              <w:rPr>
                <w:b/>
                <w:bCs/>
              </w:rPr>
            </w:pPr>
            <w:r w:rsidRPr="00A0389E">
              <w:rPr>
                <w:b/>
                <w:bCs/>
              </w:rPr>
              <w:t>Other comprehensive income, net of tax</w:t>
            </w:r>
          </w:p>
        </w:tc>
        <w:tc>
          <w:tcPr>
            <w:tcW w:w="1898" w:type="dxa"/>
            <w:tcBorders>
              <w:top w:val="single" w:sz="4" w:space="0" w:color="auto"/>
              <w:bottom w:val="single" w:sz="4" w:space="0" w:color="auto"/>
            </w:tcBorders>
            <w:shd w:val="clear" w:color="auto" w:fill="D9D9D9" w:themeFill="background1" w:themeFillShade="D9"/>
          </w:tcPr>
          <w:p w14:paraId="72A99638" w14:textId="77777777" w:rsidR="00A0389E" w:rsidRPr="00A0389E" w:rsidRDefault="00A0389E" w:rsidP="00A0389E">
            <w:pPr>
              <w:pStyle w:val="TableText"/>
              <w:jc w:val="right"/>
              <w:rPr>
                <w:b/>
                <w:bCs/>
              </w:rPr>
            </w:pPr>
            <w:r w:rsidRPr="00A0389E">
              <w:rPr>
                <w:b/>
                <w:bCs/>
              </w:rPr>
              <w:t>29</w:t>
            </w:r>
          </w:p>
        </w:tc>
        <w:tc>
          <w:tcPr>
            <w:tcW w:w="1899" w:type="dxa"/>
            <w:tcBorders>
              <w:top w:val="single" w:sz="4" w:space="0" w:color="auto"/>
              <w:bottom w:val="single" w:sz="4" w:space="0" w:color="auto"/>
            </w:tcBorders>
          </w:tcPr>
          <w:p w14:paraId="6EF4CBC4" w14:textId="77777777" w:rsidR="00A0389E" w:rsidRPr="00A0389E" w:rsidRDefault="00A0389E" w:rsidP="00A0389E">
            <w:pPr>
              <w:pStyle w:val="TableText"/>
              <w:jc w:val="right"/>
              <w:rPr>
                <w:b/>
                <w:bCs/>
              </w:rPr>
            </w:pPr>
            <w:r w:rsidRPr="00A0389E">
              <w:rPr>
                <w:b/>
                <w:bCs/>
              </w:rPr>
              <w:t>(20)</w:t>
            </w:r>
          </w:p>
        </w:tc>
      </w:tr>
      <w:tr w:rsidR="00A0389E" w:rsidRPr="00A0389E" w14:paraId="041634A2" w14:textId="77777777" w:rsidTr="00EA5C32">
        <w:trPr>
          <w:cantSplit/>
        </w:trPr>
        <w:tc>
          <w:tcPr>
            <w:tcW w:w="6521" w:type="dxa"/>
            <w:tcBorders>
              <w:top w:val="single" w:sz="4" w:space="0" w:color="auto"/>
              <w:bottom w:val="single" w:sz="18" w:space="0" w:color="auto"/>
            </w:tcBorders>
          </w:tcPr>
          <w:p w14:paraId="0E34E9FC" w14:textId="7A9E6691" w:rsidR="00A0389E" w:rsidRPr="00A0389E" w:rsidRDefault="00A0389E" w:rsidP="00A0389E">
            <w:pPr>
              <w:pStyle w:val="TableText"/>
              <w:ind w:left="0"/>
              <w:rPr>
                <w:b/>
                <w:bCs/>
              </w:rPr>
            </w:pPr>
            <w:r w:rsidRPr="00A0389E">
              <w:rPr>
                <w:b/>
                <w:bCs/>
              </w:rPr>
              <w:t>TOTAL COMPREHENSIVE SURPLUS FROM</w:t>
            </w:r>
            <w:r>
              <w:rPr>
                <w:b/>
                <w:bCs/>
              </w:rPr>
              <w:t> </w:t>
            </w:r>
            <w:r w:rsidRPr="00A0389E">
              <w:rPr>
                <w:b/>
                <w:bCs/>
              </w:rPr>
              <w:t>CONTINUING</w:t>
            </w:r>
            <w:r>
              <w:rPr>
                <w:b/>
                <w:bCs/>
              </w:rPr>
              <w:t> </w:t>
            </w:r>
            <w:r w:rsidRPr="00A0389E">
              <w:rPr>
                <w:b/>
                <w:bCs/>
              </w:rPr>
              <w:t xml:space="preserve">OPERATIONS </w:t>
            </w:r>
          </w:p>
        </w:tc>
        <w:tc>
          <w:tcPr>
            <w:tcW w:w="1898" w:type="dxa"/>
            <w:tcBorders>
              <w:top w:val="single" w:sz="4" w:space="0" w:color="auto"/>
              <w:bottom w:val="single" w:sz="18" w:space="0" w:color="auto"/>
            </w:tcBorders>
            <w:shd w:val="clear" w:color="auto" w:fill="D9D9D9" w:themeFill="background1" w:themeFillShade="D9"/>
            <w:vAlign w:val="center"/>
          </w:tcPr>
          <w:p w14:paraId="1F011475" w14:textId="52C7451E" w:rsidR="00A0389E" w:rsidRPr="00A0389E" w:rsidRDefault="00A0389E" w:rsidP="00A0389E">
            <w:pPr>
              <w:pStyle w:val="TableText"/>
              <w:jc w:val="right"/>
              <w:rPr>
                <w:b/>
                <w:bCs/>
              </w:rPr>
            </w:pPr>
            <w:r w:rsidRPr="00A0389E">
              <w:rPr>
                <w:b/>
                <w:bCs/>
              </w:rPr>
              <w:t>1,874</w:t>
            </w:r>
          </w:p>
        </w:tc>
        <w:tc>
          <w:tcPr>
            <w:tcW w:w="1899" w:type="dxa"/>
            <w:tcBorders>
              <w:top w:val="single" w:sz="4" w:space="0" w:color="auto"/>
              <w:bottom w:val="single" w:sz="18" w:space="0" w:color="auto"/>
            </w:tcBorders>
            <w:vAlign w:val="center"/>
          </w:tcPr>
          <w:p w14:paraId="077A90EB" w14:textId="41B37DF8" w:rsidR="00A0389E" w:rsidRPr="00A0389E" w:rsidRDefault="00A0389E" w:rsidP="00A0389E">
            <w:pPr>
              <w:pStyle w:val="TableText"/>
              <w:jc w:val="right"/>
              <w:rPr>
                <w:b/>
                <w:bCs/>
              </w:rPr>
            </w:pPr>
            <w:r w:rsidRPr="00A0389E">
              <w:rPr>
                <w:b/>
                <w:bCs/>
              </w:rPr>
              <w:t>3,792</w:t>
            </w:r>
          </w:p>
        </w:tc>
      </w:tr>
    </w:tbl>
    <w:p w14:paraId="732DCD27" w14:textId="77777777" w:rsidR="00A0389E" w:rsidRPr="00A0389E" w:rsidRDefault="00A0389E" w:rsidP="00A0389E">
      <w:pPr>
        <w:pStyle w:val="BodyText"/>
      </w:pPr>
      <w:r w:rsidRPr="00A0389E">
        <w:br w:type="page"/>
      </w:r>
    </w:p>
    <w:p w14:paraId="2140C1E5" w14:textId="359A153E" w:rsidR="00A0389E" w:rsidRDefault="00A0389E" w:rsidP="00A0389E">
      <w:pPr>
        <w:pStyle w:val="Heading3"/>
      </w:pPr>
      <w:r w:rsidRPr="00A0389E">
        <w:t>Statement of Cash Flows</w:t>
      </w:r>
    </w:p>
    <w:tbl>
      <w:tblPr>
        <w:tblStyle w:val="LinedTable"/>
        <w:tblW w:w="5000" w:type="pct"/>
        <w:tblLayout w:type="fixed"/>
        <w:tblLook w:val="0620" w:firstRow="1" w:lastRow="0" w:firstColumn="0" w:lastColumn="0" w:noHBand="1" w:noVBand="1"/>
      </w:tblPr>
      <w:tblGrid>
        <w:gridCol w:w="6500"/>
        <w:gridCol w:w="1909"/>
        <w:gridCol w:w="1909"/>
      </w:tblGrid>
      <w:tr w:rsidR="00A27CCB" w:rsidRPr="00A0389E" w14:paraId="15617891" w14:textId="77777777" w:rsidTr="00EA5C32">
        <w:trPr>
          <w:cnfStyle w:val="100000000000" w:firstRow="1" w:lastRow="0" w:firstColumn="0" w:lastColumn="0" w:oddVBand="0" w:evenVBand="0" w:oddHBand="0" w:evenHBand="0" w:firstRowFirstColumn="0" w:firstRowLastColumn="0" w:lastRowFirstColumn="0" w:lastRowLastColumn="0"/>
          <w:cantSplit/>
        </w:trPr>
        <w:tc>
          <w:tcPr>
            <w:tcW w:w="6500" w:type="dxa"/>
          </w:tcPr>
          <w:p w14:paraId="01B1011A" w14:textId="77777777" w:rsidR="00A0389E" w:rsidRPr="00A0389E" w:rsidRDefault="00A0389E" w:rsidP="00EA5C32">
            <w:pPr>
              <w:pStyle w:val="TableHeading"/>
            </w:pPr>
          </w:p>
        </w:tc>
        <w:tc>
          <w:tcPr>
            <w:tcW w:w="1909" w:type="dxa"/>
            <w:shd w:val="clear" w:color="auto" w:fill="D9D9D9" w:themeFill="background1" w:themeFillShade="D9"/>
            <w:vAlign w:val="center"/>
          </w:tcPr>
          <w:p w14:paraId="7E83F9D0" w14:textId="2A3EF467" w:rsidR="00A0389E" w:rsidRPr="00A0389E" w:rsidRDefault="00A0389E" w:rsidP="00EA5C32">
            <w:pPr>
              <w:pStyle w:val="TableHeading"/>
              <w:jc w:val="right"/>
            </w:pPr>
            <w:r w:rsidRPr="00A0389E">
              <w:t>$’000</w:t>
            </w:r>
            <w:r w:rsidR="00EA5C32">
              <w:br/>
              <w:t>2021</w:t>
            </w:r>
          </w:p>
        </w:tc>
        <w:tc>
          <w:tcPr>
            <w:tcW w:w="1909" w:type="dxa"/>
            <w:vAlign w:val="center"/>
          </w:tcPr>
          <w:p w14:paraId="2813A9AF" w14:textId="4F6B355A" w:rsidR="00A0389E" w:rsidRPr="00A0389E" w:rsidRDefault="00A0389E" w:rsidP="00EA5C32">
            <w:pPr>
              <w:pStyle w:val="TableHeading"/>
              <w:jc w:val="right"/>
            </w:pPr>
            <w:r w:rsidRPr="00A0389E">
              <w:t>$’000</w:t>
            </w:r>
            <w:r w:rsidR="00EA5C32">
              <w:br/>
              <w:t>2020</w:t>
            </w:r>
          </w:p>
        </w:tc>
      </w:tr>
      <w:tr w:rsidR="00A0389E" w:rsidRPr="00EA5C32" w14:paraId="0184BAD7" w14:textId="77777777" w:rsidTr="00EA5C32">
        <w:trPr>
          <w:cantSplit/>
        </w:trPr>
        <w:tc>
          <w:tcPr>
            <w:tcW w:w="6500" w:type="dxa"/>
          </w:tcPr>
          <w:p w14:paraId="0FDECCF4" w14:textId="77777777" w:rsidR="00A0389E" w:rsidRPr="00EA5C32" w:rsidRDefault="00A0389E" w:rsidP="00EA5C32">
            <w:pPr>
              <w:pStyle w:val="TableText"/>
              <w:ind w:left="0"/>
              <w:rPr>
                <w:b/>
                <w:bCs/>
              </w:rPr>
            </w:pPr>
            <w:r w:rsidRPr="00EA5C32">
              <w:rPr>
                <w:b/>
                <w:bCs/>
              </w:rPr>
              <w:t>Cash flows from operating activities</w:t>
            </w:r>
          </w:p>
        </w:tc>
        <w:tc>
          <w:tcPr>
            <w:tcW w:w="1909" w:type="dxa"/>
            <w:shd w:val="clear" w:color="auto" w:fill="D9D9D9" w:themeFill="background1" w:themeFillShade="D9"/>
            <w:vAlign w:val="center"/>
          </w:tcPr>
          <w:p w14:paraId="71696AE7" w14:textId="77777777" w:rsidR="00A0389E" w:rsidRPr="00EA5C32" w:rsidRDefault="00A0389E" w:rsidP="00EA5C32">
            <w:pPr>
              <w:pStyle w:val="TableText"/>
              <w:jc w:val="right"/>
              <w:rPr>
                <w:b/>
                <w:bCs/>
              </w:rPr>
            </w:pPr>
          </w:p>
        </w:tc>
        <w:tc>
          <w:tcPr>
            <w:tcW w:w="1909" w:type="dxa"/>
            <w:vAlign w:val="center"/>
          </w:tcPr>
          <w:p w14:paraId="74371DF2" w14:textId="77777777" w:rsidR="00A0389E" w:rsidRPr="00EA5C32" w:rsidRDefault="00A0389E" w:rsidP="00EA5C32">
            <w:pPr>
              <w:pStyle w:val="TableText"/>
              <w:jc w:val="right"/>
              <w:rPr>
                <w:b/>
                <w:bCs/>
              </w:rPr>
            </w:pPr>
          </w:p>
        </w:tc>
      </w:tr>
      <w:tr w:rsidR="00A0389E" w:rsidRPr="00A0389E" w14:paraId="02BDAC93" w14:textId="77777777" w:rsidTr="00EA5C32">
        <w:trPr>
          <w:cantSplit/>
        </w:trPr>
        <w:tc>
          <w:tcPr>
            <w:tcW w:w="6500" w:type="dxa"/>
          </w:tcPr>
          <w:p w14:paraId="5C006933" w14:textId="77777777" w:rsidR="00A0389E" w:rsidRPr="00A0389E" w:rsidRDefault="00A0389E" w:rsidP="00EA5C32">
            <w:pPr>
              <w:pStyle w:val="TableText"/>
              <w:ind w:left="0"/>
            </w:pPr>
            <w:r w:rsidRPr="00A0389E">
              <w:t>Receipts from customers</w:t>
            </w:r>
          </w:p>
        </w:tc>
        <w:tc>
          <w:tcPr>
            <w:tcW w:w="1909" w:type="dxa"/>
            <w:shd w:val="clear" w:color="auto" w:fill="D9D9D9" w:themeFill="background1" w:themeFillShade="D9"/>
            <w:vAlign w:val="center"/>
          </w:tcPr>
          <w:p w14:paraId="16D0B1FB" w14:textId="77777777" w:rsidR="00A0389E" w:rsidRPr="00A0389E" w:rsidRDefault="00A0389E" w:rsidP="00EA5C32">
            <w:pPr>
              <w:pStyle w:val="TableText"/>
              <w:jc w:val="right"/>
            </w:pPr>
            <w:r w:rsidRPr="00A0389E">
              <w:t>1,354</w:t>
            </w:r>
          </w:p>
        </w:tc>
        <w:tc>
          <w:tcPr>
            <w:tcW w:w="1909" w:type="dxa"/>
            <w:vAlign w:val="center"/>
          </w:tcPr>
          <w:p w14:paraId="5F48B110" w14:textId="77777777" w:rsidR="00A0389E" w:rsidRPr="00A0389E" w:rsidRDefault="00A0389E" w:rsidP="00EA5C32">
            <w:pPr>
              <w:pStyle w:val="TableText"/>
              <w:jc w:val="right"/>
            </w:pPr>
            <w:r w:rsidRPr="00A0389E">
              <w:t>359</w:t>
            </w:r>
          </w:p>
        </w:tc>
      </w:tr>
      <w:tr w:rsidR="00A0389E" w:rsidRPr="00A0389E" w14:paraId="3C242F87" w14:textId="77777777" w:rsidTr="00EA5C32">
        <w:trPr>
          <w:cantSplit/>
        </w:trPr>
        <w:tc>
          <w:tcPr>
            <w:tcW w:w="6500" w:type="dxa"/>
          </w:tcPr>
          <w:p w14:paraId="41923D3F" w14:textId="77777777" w:rsidR="00A0389E" w:rsidRPr="00A0389E" w:rsidRDefault="00A0389E" w:rsidP="00EA5C32">
            <w:pPr>
              <w:pStyle w:val="TableText"/>
              <w:ind w:left="0"/>
            </w:pPr>
            <w:r w:rsidRPr="00A0389E">
              <w:t>Interest receipts</w:t>
            </w:r>
          </w:p>
        </w:tc>
        <w:tc>
          <w:tcPr>
            <w:tcW w:w="1909" w:type="dxa"/>
            <w:shd w:val="clear" w:color="auto" w:fill="D9D9D9" w:themeFill="background1" w:themeFillShade="D9"/>
            <w:vAlign w:val="center"/>
          </w:tcPr>
          <w:p w14:paraId="22447C6C" w14:textId="77777777" w:rsidR="00A0389E" w:rsidRPr="00A0389E" w:rsidRDefault="00A0389E" w:rsidP="00EA5C32">
            <w:pPr>
              <w:pStyle w:val="TableText"/>
              <w:jc w:val="right"/>
            </w:pPr>
            <w:r w:rsidRPr="00A0389E">
              <w:t>207</w:t>
            </w:r>
          </w:p>
        </w:tc>
        <w:tc>
          <w:tcPr>
            <w:tcW w:w="1909" w:type="dxa"/>
            <w:vAlign w:val="center"/>
          </w:tcPr>
          <w:p w14:paraId="3866003E" w14:textId="77777777" w:rsidR="00A0389E" w:rsidRPr="00A0389E" w:rsidRDefault="00A0389E" w:rsidP="00EA5C32">
            <w:pPr>
              <w:pStyle w:val="TableText"/>
              <w:jc w:val="right"/>
            </w:pPr>
            <w:r w:rsidRPr="00A0389E">
              <w:t>457</w:t>
            </w:r>
          </w:p>
        </w:tc>
      </w:tr>
      <w:tr w:rsidR="00A0389E" w:rsidRPr="00A0389E" w14:paraId="1234C39B" w14:textId="77777777" w:rsidTr="00EA5C32">
        <w:trPr>
          <w:cantSplit/>
        </w:trPr>
        <w:tc>
          <w:tcPr>
            <w:tcW w:w="6500" w:type="dxa"/>
            <w:tcBorders>
              <w:bottom w:val="nil"/>
            </w:tcBorders>
          </w:tcPr>
          <w:p w14:paraId="53402230" w14:textId="77777777" w:rsidR="00A0389E" w:rsidRPr="00A0389E" w:rsidRDefault="00A0389E" w:rsidP="00EA5C32">
            <w:pPr>
              <w:pStyle w:val="TableText"/>
              <w:ind w:left="0"/>
            </w:pPr>
            <w:r w:rsidRPr="00A0389E">
              <w:t xml:space="preserve">Grant contributions (inc. </w:t>
            </w:r>
            <w:proofErr w:type="spellStart"/>
            <w:r w:rsidRPr="00A0389E">
              <w:t>Jobkeeper</w:t>
            </w:r>
            <w:proofErr w:type="spellEnd"/>
            <w:r w:rsidRPr="00A0389E">
              <w:t>)</w:t>
            </w:r>
          </w:p>
        </w:tc>
        <w:tc>
          <w:tcPr>
            <w:tcW w:w="1909" w:type="dxa"/>
            <w:tcBorders>
              <w:bottom w:val="nil"/>
            </w:tcBorders>
            <w:shd w:val="clear" w:color="auto" w:fill="D9D9D9" w:themeFill="background1" w:themeFillShade="D9"/>
            <w:vAlign w:val="center"/>
          </w:tcPr>
          <w:p w14:paraId="5E6C649A" w14:textId="77777777" w:rsidR="00A0389E" w:rsidRPr="00A0389E" w:rsidRDefault="00A0389E" w:rsidP="00EA5C32">
            <w:pPr>
              <w:pStyle w:val="TableText"/>
              <w:jc w:val="right"/>
            </w:pPr>
            <w:r w:rsidRPr="00A0389E">
              <w:t>85,206</w:t>
            </w:r>
          </w:p>
        </w:tc>
        <w:tc>
          <w:tcPr>
            <w:tcW w:w="1909" w:type="dxa"/>
            <w:tcBorders>
              <w:bottom w:val="nil"/>
            </w:tcBorders>
            <w:vAlign w:val="center"/>
          </w:tcPr>
          <w:p w14:paraId="7F5C47A0" w14:textId="77777777" w:rsidR="00A0389E" w:rsidRPr="00A0389E" w:rsidRDefault="00A0389E" w:rsidP="00EA5C32">
            <w:pPr>
              <w:pStyle w:val="TableText"/>
              <w:jc w:val="right"/>
            </w:pPr>
            <w:r w:rsidRPr="00A0389E">
              <w:t>79,045</w:t>
            </w:r>
          </w:p>
        </w:tc>
      </w:tr>
      <w:tr w:rsidR="00A0389E" w:rsidRPr="00A0389E" w14:paraId="54DADACA" w14:textId="77777777" w:rsidTr="00EA5C32">
        <w:trPr>
          <w:cantSplit/>
        </w:trPr>
        <w:tc>
          <w:tcPr>
            <w:tcW w:w="6500" w:type="dxa"/>
            <w:tcBorders>
              <w:bottom w:val="single" w:sz="4" w:space="0" w:color="auto"/>
            </w:tcBorders>
          </w:tcPr>
          <w:p w14:paraId="0D40DC2A" w14:textId="77777777" w:rsidR="00A0389E" w:rsidRPr="00A0389E" w:rsidRDefault="00A0389E" w:rsidP="00EA5C32">
            <w:pPr>
              <w:pStyle w:val="TableText"/>
              <w:ind w:left="0"/>
            </w:pPr>
            <w:r w:rsidRPr="00A0389E">
              <w:t>Payments to suppliers and employees</w:t>
            </w:r>
          </w:p>
        </w:tc>
        <w:tc>
          <w:tcPr>
            <w:tcW w:w="1909" w:type="dxa"/>
            <w:tcBorders>
              <w:bottom w:val="single" w:sz="4" w:space="0" w:color="auto"/>
            </w:tcBorders>
            <w:shd w:val="clear" w:color="auto" w:fill="D9D9D9" w:themeFill="background1" w:themeFillShade="D9"/>
            <w:vAlign w:val="center"/>
          </w:tcPr>
          <w:p w14:paraId="0C4AFC58" w14:textId="77777777" w:rsidR="00A0389E" w:rsidRPr="00A0389E" w:rsidRDefault="00A0389E" w:rsidP="00EA5C32">
            <w:pPr>
              <w:pStyle w:val="TableText"/>
              <w:jc w:val="right"/>
            </w:pPr>
            <w:r w:rsidRPr="00A0389E">
              <w:t>(84,948)</w:t>
            </w:r>
          </w:p>
        </w:tc>
        <w:tc>
          <w:tcPr>
            <w:tcW w:w="1909" w:type="dxa"/>
            <w:tcBorders>
              <w:bottom w:val="single" w:sz="4" w:space="0" w:color="auto"/>
            </w:tcBorders>
            <w:vAlign w:val="center"/>
          </w:tcPr>
          <w:p w14:paraId="33BF8194" w14:textId="77777777" w:rsidR="00A0389E" w:rsidRPr="00A0389E" w:rsidRDefault="00A0389E" w:rsidP="00EA5C32">
            <w:pPr>
              <w:pStyle w:val="TableText"/>
              <w:jc w:val="right"/>
            </w:pPr>
            <w:r w:rsidRPr="00A0389E">
              <w:t>(78,333)</w:t>
            </w:r>
          </w:p>
        </w:tc>
      </w:tr>
      <w:tr w:rsidR="00A0389E" w:rsidRPr="00EA5C32" w14:paraId="7D9AD8A4" w14:textId="77777777" w:rsidTr="00EA5C32">
        <w:trPr>
          <w:cantSplit/>
        </w:trPr>
        <w:tc>
          <w:tcPr>
            <w:tcW w:w="6500" w:type="dxa"/>
            <w:tcBorders>
              <w:top w:val="single" w:sz="4" w:space="0" w:color="auto"/>
              <w:bottom w:val="single" w:sz="4" w:space="0" w:color="auto"/>
            </w:tcBorders>
          </w:tcPr>
          <w:p w14:paraId="6B0850EB" w14:textId="77777777" w:rsidR="00A0389E" w:rsidRPr="00EA5C32" w:rsidRDefault="00A0389E" w:rsidP="00EA5C32">
            <w:pPr>
              <w:pStyle w:val="TableText"/>
              <w:ind w:left="0"/>
              <w:rPr>
                <w:b/>
                <w:bCs/>
              </w:rPr>
            </w:pPr>
            <w:r w:rsidRPr="00EA5C32">
              <w:rPr>
                <w:b/>
                <w:bCs/>
              </w:rPr>
              <w:t>Net cash from operating activities</w:t>
            </w:r>
          </w:p>
        </w:tc>
        <w:tc>
          <w:tcPr>
            <w:tcW w:w="1909" w:type="dxa"/>
            <w:tcBorders>
              <w:top w:val="single" w:sz="4" w:space="0" w:color="auto"/>
              <w:bottom w:val="single" w:sz="4" w:space="0" w:color="auto"/>
            </w:tcBorders>
            <w:shd w:val="clear" w:color="auto" w:fill="D9D9D9" w:themeFill="background1" w:themeFillShade="D9"/>
            <w:vAlign w:val="center"/>
          </w:tcPr>
          <w:p w14:paraId="391549E6" w14:textId="77777777" w:rsidR="00A0389E" w:rsidRPr="00EA5C32" w:rsidRDefault="00A0389E" w:rsidP="00EA5C32">
            <w:pPr>
              <w:pStyle w:val="TableText"/>
              <w:jc w:val="right"/>
              <w:rPr>
                <w:b/>
                <w:bCs/>
              </w:rPr>
            </w:pPr>
            <w:r w:rsidRPr="00EA5C32">
              <w:rPr>
                <w:b/>
                <w:bCs/>
              </w:rPr>
              <w:t>1,819</w:t>
            </w:r>
          </w:p>
        </w:tc>
        <w:tc>
          <w:tcPr>
            <w:tcW w:w="1909" w:type="dxa"/>
            <w:tcBorders>
              <w:top w:val="single" w:sz="4" w:space="0" w:color="auto"/>
              <w:bottom w:val="single" w:sz="4" w:space="0" w:color="auto"/>
            </w:tcBorders>
            <w:vAlign w:val="center"/>
          </w:tcPr>
          <w:p w14:paraId="00C0C038" w14:textId="77777777" w:rsidR="00A0389E" w:rsidRPr="00EA5C32" w:rsidRDefault="00A0389E" w:rsidP="00EA5C32">
            <w:pPr>
              <w:pStyle w:val="TableText"/>
              <w:jc w:val="right"/>
              <w:rPr>
                <w:b/>
                <w:bCs/>
              </w:rPr>
            </w:pPr>
            <w:r w:rsidRPr="00EA5C32">
              <w:rPr>
                <w:b/>
                <w:bCs/>
              </w:rPr>
              <w:t>1,528</w:t>
            </w:r>
          </w:p>
        </w:tc>
      </w:tr>
      <w:tr w:rsidR="00A0389E" w:rsidRPr="00EA5C32" w14:paraId="195F5D42" w14:textId="77777777" w:rsidTr="00EA5C32">
        <w:trPr>
          <w:cantSplit/>
        </w:trPr>
        <w:tc>
          <w:tcPr>
            <w:tcW w:w="6500" w:type="dxa"/>
            <w:tcBorders>
              <w:top w:val="single" w:sz="4" w:space="0" w:color="auto"/>
            </w:tcBorders>
          </w:tcPr>
          <w:p w14:paraId="3876038A" w14:textId="77777777" w:rsidR="00A0389E" w:rsidRPr="00EA5C32" w:rsidRDefault="00A0389E" w:rsidP="00EA5C32">
            <w:pPr>
              <w:pStyle w:val="TableText"/>
              <w:ind w:left="0"/>
              <w:rPr>
                <w:b/>
                <w:bCs/>
              </w:rPr>
            </w:pPr>
            <w:r w:rsidRPr="00EA5C32">
              <w:rPr>
                <w:b/>
                <w:bCs/>
              </w:rPr>
              <w:t>Cash flows from investing activities</w:t>
            </w:r>
          </w:p>
        </w:tc>
        <w:tc>
          <w:tcPr>
            <w:tcW w:w="1909" w:type="dxa"/>
            <w:tcBorders>
              <w:top w:val="single" w:sz="4" w:space="0" w:color="auto"/>
            </w:tcBorders>
            <w:shd w:val="clear" w:color="auto" w:fill="D9D9D9" w:themeFill="background1" w:themeFillShade="D9"/>
            <w:vAlign w:val="center"/>
          </w:tcPr>
          <w:p w14:paraId="2272A32C" w14:textId="77777777" w:rsidR="00A0389E" w:rsidRPr="00EA5C32" w:rsidRDefault="00A0389E" w:rsidP="00EA5C32">
            <w:pPr>
              <w:pStyle w:val="TableText"/>
              <w:jc w:val="right"/>
              <w:rPr>
                <w:b/>
                <w:bCs/>
              </w:rPr>
            </w:pPr>
          </w:p>
        </w:tc>
        <w:tc>
          <w:tcPr>
            <w:tcW w:w="1909" w:type="dxa"/>
            <w:tcBorders>
              <w:top w:val="single" w:sz="4" w:space="0" w:color="auto"/>
            </w:tcBorders>
            <w:vAlign w:val="center"/>
          </w:tcPr>
          <w:p w14:paraId="22EA80E4" w14:textId="77777777" w:rsidR="00A0389E" w:rsidRPr="00EA5C32" w:rsidRDefault="00A0389E" w:rsidP="00EA5C32">
            <w:pPr>
              <w:pStyle w:val="TableText"/>
              <w:jc w:val="right"/>
              <w:rPr>
                <w:b/>
                <w:bCs/>
              </w:rPr>
            </w:pPr>
          </w:p>
        </w:tc>
      </w:tr>
      <w:tr w:rsidR="00A0389E" w:rsidRPr="00A0389E" w14:paraId="1A18C716" w14:textId="77777777" w:rsidTr="00EA5C32">
        <w:trPr>
          <w:cantSplit/>
        </w:trPr>
        <w:tc>
          <w:tcPr>
            <w:tcW w:w="6500" w:type="dxa"/>
          </w:tcPr>
          <w:p w14:paraId="7A8969D1" w14:textId="77777777" w:rsidR="00A0389E" w:rsidRPr="00A0389E" w:rsidRDefault="00A0389E" w:rsidP="00EA5C32">
            <w:pPr>
              <w:pStyle w:val="TableText"/>
              <w:ind w:left="0"/>
            </w:pPr>
            <w:r w:rsidRPr="00A0389E">
              <w:t>Payments for term deposits</w:t>
            </w:r>
          </w:p>
        </w:tc>
        <w:tc>
          <w:tcPr>
            <w:tcW w:w="1909" w:type="dxa"/>
            <w:shd w:val="clear" w:color="auto" w:fill="D9D9D9" w:themeFill="background1" w:themeFillShade="D9"/>
            <w:vAlign w:val="center"/>
          </w:tcPr>
          <w:p w14:paraId="04AD63A7" w14:textId="77777777" w:rsidR="00A0389E" w:rsidRPr="00A0389E" w:rsidRDefault="00A0389E" w:rsidP="00EA5C32">
            <w:pPr>
              <w:pStyle w:val="TableText"/>
              <w:jc w:val="right"/>
            </w:pPr>
            <w:r w:rsidRPr="00A0389E">
              <w:t>(5,000)</w:t>
            </w:r>
          </w:p>
        </w:tc>
        <w:tc>
          <w:tcPr>
            <w:tcW w:w="1909" w:type="dxa"/>
            <w:vAlign w:val="center"/>
          </w:tcPr>
          <w:p w14:paraId="0AD4A05D" w14:textId="77777777" w:rsidR="00A0389E" w:rsidRPr="00A0389E" w:rsidRDefault="00A0389E" w:rsidP="00EA5C32">
            <w:pPr>
              <w:pStyle w:val="TableText"/>
              <w:jc w:val="right"/>
            </w:pPr>
            <w:r w:rsidRPr="00A0389E">
              <w:t>(6,000)</w:t>
            </w:r>
          </w:p>
        </w:tc>
      </w:tr>
      <w:tr w:rsidR="00A0389E" w:rsidRPr="00A0389E" w14:paraId="09069538" w14:textId="77777777" w:rsidTr="00EA5C32">
        <w:trPr>
          <w:cantSplit/>
        </w:trPr>
        <w:tc>
          <w:tcPr>
            <w:tcW w:w="6500" w:type="dxa"/>
            <w:tcBorders>
              <w:bottom w:val="nil"/>
            </w:tcBorders>
          </w:tcPr>
          <w:p w14:paraId="439A4C6B" w14:textId="77777777" w:rsidR="00A0389E" w:rsidRPr="00A0389E" w:rsidRDefault="00A0389E" w:rsidP="00EA5C32">
            <w:pPr>
              <w:pStyle w:val="TableText"/>
              <w:ind w:left="0"/>
            </w:pPr>
            <w:r w:rsidRPr="00A0389E">
              <w:t>Payments for purchase of fixed assets</w:t>
            </w:r>
          </w:p>
        </w:tc>
        <w:tc>
          <w:tcPr>
            <w:tcW w:w="1909" w:type="dxa"/>
            <w:tcBorders>
              <w:bottom w:val="nil"/>
            </w:tcBorders>
            <w:shd w:val="clear" w:color="auto" w:fill="D9D9D9" w:themeFill="background1" w:themeFillShade="D9"/>
            <w:vAlign w:val="center"/>
          </w:tcPr>
          <w:p w14:paraId="11726BE8" w14:textId="77777777" w:rsidR="00A0389E" w:rsidRPr="00A0389E" w:rsidRDefault="00A0389E" w:rsidP="00EA5C32">
            <w:pPr>
              <w:pStyle w:val="TableText"/>
              <w:jc w:val="right"/>
            </w:pPr>
            <w:r w:rsidRPr="00A0389E">
              <w:t>(1,384)</w:t>
            </w:r>
          </w:p>
        </w:tc>
        <w:tc>
          <w:tcPr>
            <w:tcW w:w="1909" w:type="dxa"/>
            <w:tcBorders>
              <w:bottom w:val="nil"/>
            </w:tcBorders>
            <w:vAlign w:val="center"/>
          </w:tcPr>
          <w:p w14:paraId="6DA25E3F" w14:textId="77777777" w:rsidR="00A0389E" w:rsidRPr="00A0389E" w:rsidRDefault="00A0389E" w:rsidP="00EA5C32">
            <w:pPr>
              <w:pStyle w:val="TableText"/>
              <w:jc w:val="right"/>
            </w:pPr>
            <w:r w:rsidRPr="00A0389E">
              <w:t>(2,052)</w:t>
            </w:r>
          </w:p>
        </w:tc>
      </w:tr>
      <w:tr w:rsidR="00A0389E" w:rsidRPr="00A0389E" w14:paraId="1CC381A9" w14:textId="77777777" w:rsidTr="00EA5C32">
        <w:trPr>
          <w:cantSplit/>
        </w:trPr>
        <w:tc>
          <w:tcPr>
            <w:tcW w:w="6500" w:type="dxa"/>
            <w:tcBorders>
              <w:bottom w:val="single" w:sz="4" w:space="0" w:color="auto"/>
            </w:tcBorders>
          </w:tcPr>
          <w:p w14:paraId="5C974269" w14:textId="77777777" w:rsidR="00A0389E" w:rsidRPr="00A0389E" w:rsidRDefault="00A0389E" w:rsidP="00EA5C32">
            <w:pPr>
              <w:pStyle w:val="TableText"/>
              <w:ind w:left="0"/>
            </w:pPr>
            <w:r w:rsidRPr="00A0389E">
              <w:t>Proceeds on disposal of fixed assets</w:t>
            </w:r>
          </w:p>
        </w:tc>
        <w:tc>
          <w:tcPr>
            <w:tcW w:w="1909" w:type="dxa"/>
            <w:tcBorders>
              <w:bottom w:val="single" w:sz="4" w:space="0" w:color="auto"/>
            </w:tcBorders>
            <w:shd w:val="clear" w:color="auto" w:fill="D9D9D9" w:themeFill="background1" w:themeFillShade="D9"/>
            <w:vAlign w:val="center"/>
          </w:tcPr>
          <w:p w14:paraId="31DB9169" w14:textId="77777777" w:rsidR="00A0389E" w:rsidRPr="00A0389E" w:rsidRDefault="00A0389E" w:rsidP="00EA5C32">
            <w:pPr>
              <w:pStyle w:val="TableText"/>
              <w:jc w:val="right"/>
            </w:pPr>
            <w:r w:rsidRPr="00A0389E">
              <w:t>544</w:t>
            </w:r>
          </w:p>
        </w:tc>
        <w:tc>
          <w:tcPr>
            <w:tcW w:w="1909" w:type="dxa"/>
            <w:tcBorders>
              <w:bottom w:val="single" w:sz="4" w:space="0" w:color="auto"/>
            </w:tcBorders>
            <w:vAlign w:val="center"/>
          </w:tcPr>
          <w:p w14:paraId="4F6625C3" w14:textId="77777777" w:rsidR="00A0389E" w:rsidRPr="00A0389E" w:rsidRDefault="00A0389E" w:rsidP="00EA5C32">
            <w:pPr>
              <w:pStyle w:val="TableText"/>
              <w:jc w:val="right"/>
            </w:pPr>
            <w:r w:rsidRPr="00A0389E">
              <w:t>523</w:t>
            </w:r>
          </w:p>
        </w:tc>
      </w:tr>
      <w:tr w:rsidR="00A0389E" w:rsidRPr="00EA5C32" w14:paraId="2FB71ACA" w14:textId="77777777" w:rsidTr="00EA5C32">
        <w:trPr>
          <w:cantSplit/>
        </w:trPr>
        <w:tc>
          <w:tcPr>
            <w:tcW w:w="6500" w:type="dxa"/>
            <w:tcBorders>
              <w:top w:val="single" w:sz="4" w:space="0" w:color="auto"/>
              <w:bottom w:val="single" w:sz="4" w:space="0" w:color="auto"/>
            </w:tcBorders>
          </w:tcPr>
          <w:p w14:paraId="1351DF61" w14:textId="77777777" w:rsidR="00A0389E" w:rsidRPr="00EA5C32" w:rsidRDefault="00A0389E" w:rsidP="00EA5C32">
            <w:pPr>
              <w:pStyle w:val="TableText"/>
              <w:ind w:left="0"/>
              <w:rPr>
                <w:b/>
                <w:bCs/>
              </w:rPr>
            </w:pPr>
            <w:r w:rsidRPr="00EA5C32">
              <w:rPr>
                <w:b/>
                <w:bCs/>
              </w:rPr>
              <w:t>Net cash used in investing activities</w:t>
            </w:r>
          </w:p>
        </w:tc>
        <w:tc>
          <w:tcPr>
            <w:tcW w:w="1909" w:type="dxa"/>
            <w:tcBorders>
              <w:top w:val="single" w:sz="4" w:space="0" w:color="auto"/>
              <w:bottom w:val="single" w:sz="4" w:space="0" w:color="auto"/>
            </w:tcBorders>
            <w:shd w:val="clear" w:color="auto" w:fill="D9D9D9" w:themeFill="background1" w:themeFillShade="D9"/>
            <w:vAlign w:val="center"/>
          </w:tcPr>
          <w:p w14:paraId="46F33B71" w14:textId="77777777" w:rsidR="00A0389E" w:rsidRPr="00EA5C32" w:rsidRDefault="00A0389E" w:rsidP="00EA5C32">
            <w:pPr>
              <w:pStyle w:val="TableText"/>
              <w:jc w:val="right"/>
              <w:rPr>
                <w:b/>
                <w:bCs/>
              </w:rPr>
            </w:pPr>
            <w:r w:rsidRPr="00EA5C32">
              <w:rPr>
                <w:b/>
                <w:bCs/>
              </w:rPr>
              <w:t>(5,840)</w:t>
            </w:r>
          </w:p>
        </w:tc>
        <w:tc>
          <w:tcPr>
            <w:tcW w:w="1909" w:type="dxa"/>
            <w:tcBorders>
              <w:top w:val="single" w:sz="4" w:space="0" w:color="auto"/>
              <w:bottom w:val="single" w:sz="4" w:space="0" w:color="auto"/>
            </w:tcBorders>
            <w:vAlign w:val="center"/>
          </w:tcPr>
          <w:p w14:paraId="7C3C4885" w14:textId="77777777" w:rsidR="00A0389E" w:rsidRPr="00EA5C32" w:rsidRDefault="00A0389E" w:rsidP="00EA5C32">
            <w:pPr>
              <w:pStyle w:val="TableText"/>
              <w:jc w:val="right"/>
              <w:rPr>
                <w:b/>
                <w:bCs/>
              </w:rPr>
            </w:pPr>
            <w:r w:rsidRPr="00EA5C32">
              <w:rPr>
                <w:b/>
                <w:bCs/>
              </w:rPr>
              <w:t>(7,529)</w:t>
            </w:r>
          </w:p>
        </w:tc>
      </w:tr>
      <w:tr w:rsidR="00A0389E" w:rsidRPr="00EA5C32" w14:paraId="43CD2863" w14:textId="77777777" w:rsidTr="00EA5C32">
        <w:trPr>
          <w:cantSplit/>
        </w:trPr>
        <w:tc>
          <w:tcPr>
            <w:tcW w:w="6500" w:type="dxa"/>
            <w:tcBorders>
              <w:top w:val="single" w:sz="4" w:space="0" w:color="auto"/>
            </w:tcBorders>
          </w:tcPr>
          <w:p w14:paraId="1E8B969E" w14:textId="77777777" w:rsidR="00A0389E" w:rsidRPr="00EA5C32" w:rsidRDefault="00A0389E" w:rsidP="00EA5C32">
            <w:pPr>
              <w:pStyle w:val="TableText"/>
              <w:ind w:left="0"/>
              <w:rPr>
                <w:b/>
                <w:bCs/>
              </w:rPr>
            </w:pPr>
            <w:r w:rsidRPr="00EA5C32">
              <w:rPr>
                <w:b/>
                <w:bCs/>
              </w:rPr>
              <w:t>Cash flows from financing activities</w:t>
            </w:r>
          </w:p>
        </w:tc>
        <w:tc>
          <w:tcPr>
            <w:tcW w:w="1909" w:type="dxa"/>
            <w:tcBorders>
              <w:top w:val="single" w:sz="4" w:space="0" w:color="auto"/>
            </w:tcBorders>
            <w:shd w:val="clear" w:color="auto" w:fill="D9D9D9" w:themeFill="background1" w:themeFillShade="D9"/>
            <w:vAlign w:val="center"/>
          </w:tcPr>
          <w:p w14:paraId="6C1E0011" w14:textId="77777777" w:rsidR="00A0389E" w:rsidRPr="00EA5C32" w:rsidRDefault="00A0389E" w:rsidP="00EA5C32">
            <w:pPr>
              <w:pStyle w:val="TableText"/>
              <w:jc w:val="right"/>
              <w:rPr>
                <w:b/>
                <w:bCs/>
              </w:rPr>
            </w:pPr>
          </w:p>
        </w:tc>
        <w:tc>
          <w:tcPr>
            <w:tcW w:w="1909" w:type="dxa"/>
            <w:tcBorders>
              <w:top w:val="single" w:sz="4" w:space="0" w:color="auto"/>
            </w:tcBorders>
            <w:vAlign w:val="center"/>
          </w:tcPr>
          <w:p w14:paraId="55F56FC1" w14:textId="77777777" w:rsidR="00A0389E" w:rsidRPr="00EA5C32" w:rsidRDefault="00A0389E" w:rsidP="00EA5C32">
            <w:pPr>
              <w:pStyle w:val="TableText"/>
              <w:jc w:val="right"/>
              <w:rPr>
                <w:b/>
                <w:bCs/>
              </w:rPr>
            </w:pPr>
          </w:p>
        </w:tc>
      </w:tr>
      <w:tr w:rsidR="00A0389E" w:rsidRPr="00A0389E" w14:paraId="4DBD27EA" w14:textId="77777777" w:rsidTr="00EA5C32">
        <w:trPr>
          <w:cantSplit/>
        </w:trPr>
        <w:tc>
          <w:tcPr>
            <w:tcW w:w="6500" w:type="dxa"/>
            <w:tcBorders>
              <w:bottom w:val="nil"/>
            </w:tcBorders>
          </w:tcPr>
          <w:p w14:paraId="30933FAC" w14:textId="77777777" w:rsidR="00A0389E" w:rsidRPr="00A0389E" w:rsidRDefault="00A0389E" w:rsidP="00EA5C32">
            <w:pPr>
              <w:pStyle w:val="TableText"/>
              <w:ind w:left="0"/>
            </w:pPr>
            <w:r w:rsidRPr="00A0389E">
              <w:t xml:space="preserve">Loan to </w:t>
            </w:r>
            <w:proofErr w:type="spellStart"/>
            <w:r w:rsidRPr="00A0389E">
              <w:t>Avivo</w:t>
            </w:r>
            <w:proofErr w:type="spellEnd"/>
            <w:r w:rsidRPr="00A0389E">
              <w:t>: Live Life Foundation Inc</w:t>
            </w:r>
          </w:p>
        </w:tc>
        <w:tc>
          <w:tcPr>
            <w:tcW w:w="1909" w:type="dxa"/>
            <w:tcBorders>
              <w:bottom w:val="nil"/>
            </w:tcBorders>
            <w:shd w:val="clear" w:color="auto" w:fill="D9D9D9" w:themeFill="background1" w:themeFillShade="D9"/>
            <w:vAlign w:val="center"/>
          </w:tcPr>
          <w:p w14:paraId="1BFE7DEE" w14:textId="77777777" w:rsidR="00A0389E" w:rsidRPr="00A0389E" w:rsidRDefault="00A0389E" w:rsidP="00EA5C32">
            <w:pPr>
              <w:pStyle w:val="TableText"/>
              <w:jc w:val="right"/>
            </w:pPr>
            <w:r w:rsidRPr="00A0389E">
              <w:t>-</w:t>
            </w:r>
          </w:p>
        </w:tc>
        <w:tc>
          <w:tcPr>
            <w:tcW w:w="1909" w:type="dxa"/>
            <w:tcBorders>
              <w:bottom w:val="nil"/>
            </w:tcBorders>
            <w:vAlign w:val="center"/>
          </w:tcPr>
          <w:p w14:paraId="0D31E224" w14:textId="77777777" w:rsidR="00A0389E" w:rsidRPr="00A0389E" w:rsidRDefault="00A0389E" w:rsidP="00EA5C32">
            <w:pPr>
              <w:pStyle w:val="TableText"/>
              <w:jc w:val="right"/>
            </w:pPr>
            <w:r w:rsidRPr="00A0389E">
              <w:t>466</w:t>
            </w:r>
          </w:p>
        </w:tc>
      </w:tr>
      <w:tr w:rsidR="00A0389E" w:rsidRPr="00A0389E" w14:paraId="72AD2019" w14:textId="77777777" w:rsidTr="00EA5C32">
        <w:trPr>
          <w:cantSplit/>
        </w:trPr>
        <w:tc>
          <w:tcPr>
            <w:tcW w:w="6500" w:type="dxa"/>
            <w:tcBorders>
              <w:bottom w:val="single" w:sz="4" w:space="0" w:color="auto"/>
            </w:tcBorders>
          </w:tcPr>
          <w:p w14:paraId="6CB1159F" w14:textId="77777777" w:rsidR="00A0389E" w:rsidRPr="00A0389E" w:rsidRDefault="00A0389E" w:rsidP="00EA5C32">
            <w:pPr>
              <w:pStyle w:val="TableText"/>
              <w:ind w:left="0"/>
            </w:pPr>
            <w:r w:rsidRPr="00A0389E">
              <w:t>Payments for lease liabilities</w:t>
            </w:r>
          </w:p>
        </w:tc>
        <w:tc>
          <w:tcPr>
            <w:tcW w:w="1909" w:type="dxa"/>
            <w:tcBorders>
              <w:bottom w:val="single" w:sz="4" w:space="0" w:color="auto"/>
            </w:tcBorders>
            <w:shd w:val="clear" w:color="auto" w:fill="D9D9D9" w:themeFill="background1" w:themeFillShade="D9"/>
            <w:vAlign w:val="center"/>
          </w:tcPr>
          <w:p w14:paraId="609757E4" w14:textId="77777777" w:rsidR="00A0389E" w:rsidRPr="00A0389E" w:rsidRDefault="00A0389E" w:rsidP="00EA5C32">
            <w:pPr>
              <w:pStyle w:val="TableText"/>
              <w:jc w:val="right"/>
            </w:pPr>
            <w:r w:rsidRPr="00A0389E">
              <w:t>(370)</w:t>
            </w:r>
          </w:p>
        </w:tc>
        <w:tc>
          <w:tcPr>
            <w:tcW w:w="1909" w:type="dxa"/>
            <w:tcBorders>
              <w:bottom w:val="single" w:sz="4" w:space="0" w:color="auto"/>
            </w:tcBorders>
            <w:vAlign w:val="center"/>
          </w:tcPr>
          <w:p w14:paraId="2913ABA8" w14:textId="77777777" w:rsidR="00A0389E" w:rsidRPr="00A0389E" w:rsidRDefault="00A0389E" w:rsidP="00EA5C32">
            <w:pPr>
              <w:pStyle w:val="TableText"/>
              <w:jc w:val="right"/>
            </w:pPr>
            <w:r w:rsidRPr="00A0389E">
              <w:t>(116)</w:t>
            </w:r>
          </w:p>
        </w:tc>
      </w:tr>
      <w:tr w:rsidR="00A0389E" w:rsidRPr="00EA5C32" w14:paraId="6D35751A" w14:textId="77777777" w:rsidTr="00EA5C32">
        <w:trPr>
          <w:cantSplit/>
        </w:trPr>
        <w:tc>
          <w:tcPr>
            <w:tcW w:w="6500" w:type="dxa"/>
            <w:tcBorders>
              <w:top w:val="single" w:sz="4" w:space="0" w:color="auto"/>
              <w:bottom w:val="single" w:sz="4" w:space="0" w:color="auto"/>
            </w:tcBorders>
          </w:tcPr>
          <w:p w14:paraId="76B557A3" w14:textId="77777777" w:rsidR="00A0389E" w:rsidRPr="00EA5C32" w:rsidRDefault="00A0389E" w:rsidP="00EA5C32">
            <w:pPr>
              <w:pStyle w:val="TableText"/>
              <w:ind w:left="0"/>
              <w:rPr>
                <w:b/>
                <w:bCs/>
              </w:rPr>
            </w:pPr>
            <w:r w:rsidRPr="00EA5C32">
              <w:rPr>
                <w:b/>
                <w:bCs/>
              </w:rPr>
              <w:t>Net cash used in financing activities</w:t>
            </w:r>
          </w:p>
        </w:tc>
        <w:tc>
          <w:tcPr>
            <w:tcW w:w="1909" w:type="dxa"/>
            <w:tcBorders>
              <w:top w:val="single" w:sz="4" w:space="0" w:color="auto"/>
              <w:bottom w:val="single" w:sz="4" w:space="0" w:color="auto"/>
            </w:tcBorders>
            <w:shd w:val="clear" w:color="auto" w:fill="D9D9D9" w:themeFill="background1" w:themeFillShade="D9"/>
            <w:vAlign w:val="center"/>
          </w:tcPr>
          <w:p w14:paraId="25F01276" w14:textId="77777777" w:rsidR="00A0389E" w:rsidRPr="00EA5C32" w:rsidRDefault="00A0389E" w:rsidP="00EA5C32">
            <w:pPr>
              <w:pStyle w:val="TableText"/>
              <w:jc w:val="right"/>
              <w:rPr>
                <w:b/>
                <w:bCs/>
              </w:rPr>
            </w:pPr>
            <w:r w:rsidRPr="00EA5C32">
              <w:rPr>
                <w:b/>
                <w:bCs/>
              </w:rPr>
              <w:t>(370)</w:t>
            </w:r>
          </w:p>
        </w:tc>
        <w:tc>
          <w:tcPr>
            <w:tcW w:w="1909" w:type="dxa"/>
            <w:tcBorders>
              <w:top w:val="single" w:sz="4" w:space="0" w:color="auto"/>
              <w:bottom w:val="single" w:sz="4" w:space="0" w:color="auto"/>
            </w:tcBorders>
            <w:vAlign w:val="center"/>
          </w:tcPr>
          <w:p w14:paraId="0600F14B" w14:textId="77777777" w:rsidR="00A0389E" w:rsidRPr="00EA5C32" w:rsidRDefault="00A0389E" w:rsidP="00EA5C32">
            <w:pPr>
              <w:pStyle w:val="TableText"/>
              <w:jc w:val="right"/>
              <w:rPr>
                <w:b/>
                <w:bCs/>
              </w:rPr>
            </w:pPr>
            <w:r w:rsidRPr="00EA5C32">
              <w:rPr>
                <w:b/>
                <w:bCs/>
              </w:rPr>
              <w:t>350</w:t>
            </w:r>
          </w:p>
        </w:tc>
      </w:tr>
      <w:tr w:rsidR="00A0389E" w:rsidRPr="00EA5C32" w14:paraId="2E3B0C57" w14:textId="77777777" w:rsidTr="00EA5C32">
        <w:trPr>
          <w:cantSplit/>
        </w:trPr>
        <w:tc>
          <w:tcPr>
            <w:tcW w:w="6500" w:type="dxa"/>
            <w:tcBorders>
              <w:top w:val="single" w:sz="4" w:space="0" w:color="auto"/>
              <w:bottom w:val="nil"/>
            </w:tcBorders>
          </w:tcPr>
          <w:p w14:paraId="36DA62C1" w14:textId="77777777" w:rsidR="00A0389E" w:rsidRPr="00EA5C32" w:rsidRDefault="00A0389E" w:rsidP="00EA5C32">
            <w:pPr>
              <w:pStyle w:val="TableText"/>
              <w:ind w:left="0"/>
              <w:rPr>
                <w:b/>
                <w:bCs/>
              </w:rPr>
            </w:pPr>
            <w:r w:rsidRPr="00EA5C32">
              <w:rPr>
                <w:b/>
                <w:bCs/>
              </w:rPr>
              <w:t>Net decrease in cash held</w:t>
            </w:r>
          </w:p>
        </w:tc>
        <w:tc>
          <w:tcPr>
            <w:tcW w:w="1909" w:type="dxa"/>
            <w:tcBorders>
              <w:top w:val="single" w:sz="4" w:space="0" w:color="auto"/>
              <w:bottom w:val="nil"/>
            </w:tcBorders>
            <w:shd w:val="clear" w:color="auto" w:fill="D9D9D9" w:themeFill="background1" w:themeFillShade="D9"/>
            <w:vAlign w:val="center"/>
          </w:tcPr>
          <w:p w14:paraId="730B46C6" w14:textId="77777777" w:rsidR="00A0389E" w:rsidRPr="00EA5C32" w:rsidRDefault="00A0389E" w:rsidP="00EA5C32">
            <w:pPr>
              <w:pStyle w:val="TableText"/>
              <w:jc w:val="right"/>
              <w:rPr>
                <w:b/>
                <w:bCs/>
              </w:rPr>
            </w:pPr>
            <w:r w:rsidRPr="00EA5C32">
              <w:rPr>
                <w:b/>
                <w:bCs/>
              </w:rPr>
              <w:t>(4,390)</w:t>
            </w:r>
          </w:p>
        </w:tc>
        <w:tc>
          <w:tcPr>
            <w:tcW w:w="1909" w:type="dxa"/>
            <w:tcBorders>
              <w:top w:val="single" w:sz="4" w:space="0" w:color="auto"/>
              <w:bottom w:val="nil"/>
            </w:tcBorders>
            <w:vAlign w:val="center"/>
          </w:tcPr>
          <w:p w14:paraId="12A710C5" w14:textId="77777777" w:rsidR="00A0389E" w:rsidRPr="00EA5C32" w:rsidRDefault="00A0389E" w:rsidP="00EA5C32">
            <w:pPr>
              <w:pStyle w:val="TableText"/>
              <w:jc w:val="right"/>
              <w:rPr>
                <w:b/>
                <w:bCs/>
              </w:rPr>
            </w:pPr>
            <w:r w:rsidRPr="00EA5C32">
              <w:rPr>
                <w:b/>
                <w:bCs/>
              </w:rPr>
              <w:t>(5,651)</w:t>
            </w:r>
          </w:p>
        </w:tc>
      </w:tr>
      <w:tr w:rsidR="00A0389E" w:rsidRPr="00A0389E" w14:paraId="71AF21E9" w14:textId="77777777" w:rsidTr="00EA5C32">
        <w:trPr>
          <w:cantSplit/>
        </w:trPr>
        <w:tc>
          <w:tcPr>
            <w:tcW w:w="6500" w:type="dxa"/>
            <w:tcBorders>
              <w:bottom w:val="single" w:sz="4" w:space="0" w:color="auto"/>
            </w:tcBorders>
          </w:tcPr>
          <w:p w14:paraId="2A5536FB" w14:textId="77777777" w:rsidR="00A0389E" w:rsidRPr="00A0389E" w:rsidRDefault="00A0389E" w:rsidP="00EA5C32">
            <w:pPr>
              <w:pStyle w:val="TableText"/>
              <w:ind w:left="0"/>
            </w:pPr>
            <w:r w:rsidRPr="00A0389E">
              <w:t>CASH AT BEGINNING OF THE YEAR</w:t>
            </w:r>
          </w:p>
        </w:tc>
        <w:tc>
          <w:tcPr>
            <w:tcW w:w="1909" w:type="dxa"/>
            <w:tcBorders>
              <w:bottom w:val="single" w:sz="4" w:space="0" w:color="auto"/>
            </w:tcBorders>
            <w:shd w:val="clear" w:color="auto" w:fill="D9D9D9" w:themeFill="background1" w:themeFillShade="D9"/>
            <w:vAlign w:val="center"/>
          </w:tcPr>
          <w:p w14:paraId="222AF8B4" w14:textId="77777777" w:rsidR="00A0389E" w:rsidRPr="00A0389E" w:rsidRDefault="00A0389E" w:rsidP="00EA5C32">
            <w:pPr>
              <w:pStyle w:val="TableText"/>
              <w:jc w:val="right"/>
            </w:pPr>
            <w:r w:rsidRPr="00A0389E">
              <w:t>14,686</w:t>
            </w:r>
          </w:p>
        </w:tc>
        <w:tc>
          <w:tcPr>
            <w:tcW w:w="1909" w:type="dxa"/>
            <w:tcBorders>
              <w:bottom w:val="single" w:sz="4" w:space="0" w:color="auto"/>
            </w:tcBorders>
            <w:vAlign w:val="center"/>
          </w:tcPr>
          <w:p w14:paraId="6593C9BC" w14:textId="77777777" w:rsidR="00A0389E" w:rsidRPr="00A0389E" w:rsidRDefault="00A0389E" w:rsidP="00EA5C32">
            <w:pPr>
              <w:pStyle w:val="TableText"/>
              <w:jc w:val="right"/>
            </w:pPr>
            <w:r w:rsidRPr="00A0389E">
              <w:t>20,337</w:t>
            </w:r>
          </w:p>
        </w:tc>
      </w:tr>
      <w:tr w:rsidR="00A0389E" w:rsidRPr="00EA5C32" w14:paraId="57240F3A" w14:textId="77777777" w:rsidTr="00EA5C32">
        <w:trPr>
          <w:cantSplit/>
        </w:trPr>
        <w:tc>
          <w:tcPr>
            <w:tcW w:w="6500" w:type="dxa"/>
            <w:tcBorders>
              <w:top w:val="single" w:sz="4" w:space="0" w:color="auto"/>
              <w:bottom w:val="single" w:sz="18" w:space="0" w:color="auto"/>
            </w:tcBorders>
          </w:tcPr>
          <w:p w14:paraId="66B4E812" w14:textId="77777777" w:rsidR="00A0389E" w:rsidRPr="00EA5C32" w:rsidRDefault="00A0389E" w:rsidP="00EA5C32">
            <w:pPr>
              <w:pStyle w:val="TableText"/>
              <w:spacing w:before="120" w:after="120"/>
              <w:ind w:left="0"/>
              <w:rPr>
                <w:b/>
                <w:bCs/>
              </w:rPr>
            </w:pPr>
            <w:r w:rsidRPr="00EA5C32">
              <w:rPr>
                <w:b/>
                <w:bCs/>
              </w:rPr>
              <w:t>CASH AT END OF THE YEAR</w:t>
            </w:r>
          </w:p>
        </w:tc>
        <w:tc>
          <w:tcPr>
            <w:tcW w:w="1909" w:type="dxa"/>
            <w:tcBorders>
              <w:top w:val="single" w:sz="4" w:space="0" w:color="auto"/>
              <w:bottom w:val="single" w:sz="18" w:space="0" w:color="auto"/>
            </w:tcBorders>
            <w:shd w:val="clear" w:color="auto" w:fill="D9D9D9" w:themeFill="background1" w:themeFillShade="D9"/>
            <w:vAlign w:val="center"/>
          </w:tcPr>
          <w:p w14:paraId="4537E144" w14:textId="77777777" w:rsidR="00A0389E" w:rsidRPr="00EA5C32" w:rsidRDefault="00A0389E" w:rsidP="00EA5C32">
            <w:pPr>
              <w:pStyle w:val="TableText"/>
              <w:jc w:val="right"/>
              <w:rPr>
                <w:b/>
                <w:bCs/>
              </w:rPr>
            </w:pPr>
            <w:r w:rsidRPr="00EA5C32">
              <w:rPr>
                <w:b/>
                <w:bCs/>
              </w:rPr>
              <w:t>10,294</w:t>
            </w:r>
          </w:p>
        </w:tc>
        <w:tc>
          <w:tcPr>
            <w:tcW w:w="1909" w:type="dxa"/>
            <w:tcBorders>
              <w:top w:val="single" w:sz="4" w:space="0" w:color="auto"/>
              <w:bottom w:val="single" w:sz="18" w:space="0" w:color="auto"/>
            </w:tcBorders>
            <w:vAlign w:val="center"/>
          </w:tcPr>
          <w:p w14:paraId="0BC9C8AB" w14:textId="77777777" w:rsidR="00A0389E" w:rsidRPr="00EA5C32" w:rsidRDefault="00A0389E" w:rsidP="00EA5C32">
            <w:pPr>
              <w:pStyle w:val="TableText"/>
              <w:jc w:val="right"/>
              <w:rPr>
                <w:b/>
                <w:bCs/>
              </w:rPr>
            </w:pPr>
            <w:r w:rsidRPr="00EA5C32">
              <w:rPr>
                <w:b/>
                <w:bCs/>
              </w:rPr>
              <w:t>14,686</w:t>
            </w:r>
          </w:p>
        </w:tc>
      </w:tr>
    </w:tbl>
    <w:p w14:paraId="294D7457" w14:textId="77777777" w:rsidR="00B67DAF" w:rsidRDefault="00B67DAF" w:rsidP="00EA5C32">
      <w:pPr>
        <w:pStyle w:val="Heading3"/>
      </w:pPr>
    </w:p>
    <w:p w14:paraId="73FBEE76" w14:textId="77777777" w:rsidR="00B67DAF" w:rsidRDefault="00B67DAF">
      <w:pPr>
        <w:spacing w:after="160" w:line="259" w:lineRule="auto"/>
        <w:rPr>
          <w:rFonts w:asciiTheme="majorHAnsi" w:eastAsiaTheme="majorEastAsia" w:hAnsiTheme="majorHAnsi" w:cstheme="majorBidi"/>
          <w:color w:val="231F20" w:themeColor="text2"/>
          <w:sz w:val="28"/>
          <w:szCs w:val="24"/>
        </w:rPr>
      </w:pPr>
      <w:r>
        <w:br w:type="page"/>
      </w:r>
    </w:p>
    <w:p w14:paraId="60834AA5" w14:textId="1B75098C" w:rsidR="00A0389E" w:rsidRDefault="00EA5C32" w:rsidP="00EA5C32">
      <w:pPr>
        <w:pStyle w:val="Heading3"/>
      </w:pPr>
      <w:r w:rsidRPr="00EA5C32">
        <w:t>Statement of Financial Position</w:t>
      </w:r>
    </w:p>
    <w:p w14:paraId="071A627F" w14:textId="77777777" w:rsidR="00EA5C32" w:rsidRDefault="00EA5C32" w:rsidP="00EA5C32">
      <w:pPr>
        <w:pStyle w:val="BodyText"/>
        <w:rPr>
          <w:lang w:val="en-GB"/>
        </w:rPr>
      </w:pPr>
      <w:r>
        <w:rPr>
          <w:lang w:val="en-GB"/>
        </w:rPr>
        <w:t>Figures for the year ended 30 June 2021</w:t>
      </w:r>
    </w:p>
    <w:tbl>
      <w:tblPr>
        <w:tblStyle w:val="LinedTable"/>
        <w:tblW w:w="5000" w:type="pct"/>
        <w:tblLayout w:type="fixed"/>
        <w:tblLook w:val="0620" w:firstRow="1" w:lastRow="0" w:firstColumn="0" w:lastColumn="0" w:noHBand="1" w:noVBand="1"/>
      </w:tblPr>
      <w:tblGrid>
        <w:gridCol w:w="6521"/>
        <w:gridCol w:w="1898"/>
        <w:gridCol w:w="1899"/>
      </w:tblGrid>
      <w:tr w:rsidR="00EA5C32" w:rsidRPr="00EA5C32" w14:paraId="6FCE1FE9" w14:textId="77777777" w:rsidTr="00EA5C32">
        <w:trPr>
          <w:cnfStyle w:val="100000000000" w:firstRow="1" w:lastRow="0" w:firstColumn="0" w:lastColumn="0" w:oddVBand="0" w:evenVBand="0" w:oddHBand="0" w:evenHBand="0" w:firstRowFirstColumn="0" w:firstRowLastColumn="0" w:lastRowFirstColumn="0" w:lastRowLastColumn="0"/>
          <w:cantSplit/>
          <w:tblHeader/>
        </w:trPr>
        <w:tc>
          <w:tcPr>
            <w:tcW w:w="6521" w:type="dxa"/>
          </w:tcPr>
          <w:p w14:paraId="79D816B6" w14:textId="77777777" w:rsidR="00EA5C32" w:rsidRPr="00EA5C32" w:rsidRDefault="00EA5C32" w:rsidP="00EA5C32">
            <w:pPr>
              <w:pStyle w:val="TableHeading"/>
              <w:ind w:left="0"/>
            </w:pPr>
          </w:p>
        </w:tc>
        <w:tc>
          <w:tcPr>
            <w:tcW w:w="1898" w:type="dxa"/>
            <w:shd w:val="clear" w:color="auto" w:fill="D9D9D9" w:themeFill="background1" w:themeFillShade="D9"/>
            <w:vAlign w:val="center"/>
          </w:tcPr>
          <w:p w14:paraId="71EC3362" w14:textId="56B9C3D5" w:rsidR="00EA5C32" w:rsidRPr="00EA5C32" w:rsidRDefault="00EA5C32" w:rsidP="00EA5C32">
            <w:pPr>
              <w:pStyle w:val="TableHeading"/>
              <w:jc w:val="right"/>
            </w:pPr>
            <w:r w:rsidRPr="00EA5C32">
              <w:t>$’000</w:t>
            </w:r>
            <w:r w:rsidRPr="00EA5C32">
              <w:br/>
              <w:t>2021</w:t>
            </w:r>
          </w:p>
        </w:tc>
        <w:tc>
          <w:tcPr>
            <w:tcW w:w="1899" w:type="dxa"/>
            <w:vAlign w:val="center"/>
          </w:tcPr>
          <w:p w14:paraId="0D7C2CC4" w14:textId="5C5EBFDF" w:rsidR="00EA5C32" w:rsidRPr="00EA5C32" w:rsidRDefault="00EA5C32" w:rsidP="00EA5C32">
            <w:pPr>
              <w:pStyle w:val="TableHeading"/>
              <w:jc w:val="right"/>
            </w:pPr>
            <w:r w:rsidRPr="00EA5C32">
              <w:t>$’000</w:t>
            </w:r>
            <w:r w:rsidRPr="00EA5C32">
              <w:br/>
              <w:t>2020</w:t>
            </w:r>
          </w:p>
        </w:tc>
      </w:tr>
      <w:tr w:rsidR="00EA5C32" w:rsidRPr="00EA5C32" w14:paraId="2AF9455B" w14:textId="77777777" w:rsidTr="00EA5C32">
        <w:trPr>
          <w:cantSplit/>
        </w:trPr>
        <w:tc>
          <w:tcPr>
            <w:tcW w:w="6521" w:type="dxa"/>
          </w:tcPr>
          <w:p w14:paraId="660B7092" w14:textId="77777777" w:rsidR="00EA5C32" w:rsidRPr="00EA5C32" w:rsidRDefault="00EA5C32" w:rsidP="00EA5C32">
            <w:pPr>
              <w:pStyle w:val="TableText"/>
              <w:ind w:left="0"/>
              <w:rPr>
                <w:b/>
                <w:bCs/>
              </w:rPr>
            </w:pPr>
            <w:r w:rsidRPr="00EA5C32">
              <w:rPr>
                <w:b/>
                <w:bCs/>
              </w:rPr>
              <w:t>Current assets</w:t>
            </w:r>
          </w:p>
        </w:tc>
        <w:tc>
          <w:tcPr>
            <w:tcW w:w="1898" w:type="dxa"/>
            <w:shd w:val="clear" w:color="auto" w:fill="D9D9D9" w:themeFill="background1" w:themeFillShade="D9"/>
            <w:vAlign w:val="center"/>
          </w:tcPr>
          <w:p w14:paraId="5FEA7AC3" w14:textId="77777777" w:rsidR="00EA5C32" w:rsidRPr="00EA5C32" w:rsidRDefault="00EA5C32" w:rsidP="00EA5C32">
            <w:pPr>
              <w:pStyle w:val="TableText"/>
              <w:jc w:val="right"/>
              <w:rPr>
                <w:b/>
                <w:bCs/>
              </w:rPr>
            </w:pPr>
          </w:p>
        </w:tc>
        <w:tc>
          <w:tcPr>
            <w:tcW w:w="1899" w:type="dxa"/>
            <w:vAlign w:val="center"/>
          </w:tcPr>
          <w:p w14:paraId="41746FFE" w14:textId="77777777" w:rsidR="00EA5C32" w:rsidRPr="00EA5C32" w:rsidRDefault="00EA5C32" w:rsidP="00EA5C32">
            <w:pPr>
              <w:pStyle w:val="TableText"/>
              <w:jc w:val="right"/>
              <w:rPr>
                <w:b/>
                <w:bCs/>
              </w:rPr>
            </w:pPr>
          </w:p>
        </w:tc>
      </w:tr>
      <w:tr w:rsidR="00EA5C32" w:rsidRPr="00EA5C32" w14:paraId="40A268F7" w14:textId="77777777" w:rsidTr="00EA5C32">
        <w:trPr>
          <w:cantSplit/>
        </w:trPr>
        <w:tc>
          <w:tcPr>
            <w:tcW w:w="6521" w:type="dxa"/>
          </w:tcPr>
          <w:p w14:paraId="37E684FB" w14:textId="77777777" w:rsidR="00EA5C32" w:rsidRPr="00EA5C32" w:rsidRDefault="00EA5C32" w:rsidP="00EA5C32">
            <w:pPr>
              <w:pStyle w:val="TableText"/>
              <w:ind w:left="0"/>
            </w:pPr>
            <w:r w:rsidRPr="00EA5C32">
              <w:t>Cash and cash equivalents</w:t>
            </w:r>
          </w:p>
        </w:tc>
        <w:tc>
          <w:tcPr>
            <w:tcW w:w="1898" w:type="dxa"/>
            <w:shd w:val="clear" w:color="auto" w:fill="D9D9D9" w:themeFill="background1" w:themeFillShade="D9"/>
            <w:vAlign w:val="center"/>
          </w:tcPr>
          <w:p w14:paraId="2188719E" w14:textId="77777777" w:rsidR="00EA5C32" w:rsidRPr="00EA5C32" w:rsidRDefault="00EA5C32" w:rsidP="00EA5C32">
            <w:pPr>
              <w:pStyle w:val="TableText"/>
              <w:jc w:val="right"/>
            </w:pPr>
            <w:r w:rsidRPr="00EA5C32">
              <w:t xml:space="preserve"> 10,294 </w:t>
            </w:r>
          </w:p>
        </w:tc>
        <w:tc>
          <w:tcPr>
            <w:tcW w:w="1899" w:type="dxa"/>
            <w:vAlign w:val="center"/>
          </w:tcPr>
          <w:p w14:paraId="0A7B8B79" w14:textId="77777777" w:rsidR="00EA5C32" w:rsidRPr="00EA5C32" w:rsidRDefault="00EA5C32" w:rsidP="00EA5C32">
            <w:pPr>
              <w:pStyle w:val="TableText"/>
              <w:jc w:val="right"/>
            </w:pPr>
            <w:r w:rsidRPr="00EA5C32">
              <w:t>14,686</w:t>
            </w:r>
          </w:p>
        </w:tc>
      </w:tr>
      <w:tr w:rsidR="00EA5C32" w:rsidRPr="00EA5C32" w14:paraId="7A5A696C" w14:textId="77777777" w:rsidTr="00EA5C32">
        <w:trPr>
          <w:cantSplit/>
        </w:trPr>
        <w:tc>
          <w:tcPr>
            <w:tcW w:w="6521" w:type="dxa"/>
          </w:tcPr>
          <w:p w14:paraId="31A19490" w14:textId="77777777" w:rsidR="00EA5C32" w:rsidRPr="00EA5C32" w:rsidRDefault="00EA5C32" w:rsidP="00EA5C32">
            <w:pPr>
              <w:pStyle w:val="TableText"/>
              <w:ind w:left="0"/>
            </w:pPr>
            <w:r w:rsidRPr="00EA5C32">
              <w:t>Term deposits</w:t>
            </w:r>
          </w:p>
        </w:tc>
        <w:tc>
          <w:tcPr>
            <w:tcW w:w="1898" w:type="dxa"/>
            <w:shd w:val="clear" w:color="auto" w:fill="D9D9D9" w:themeFill="background1" w:themeFillShade="D9"/>
            <w:vAlign w:val="center"/>
          </w:tcPr>
          <w:p w14:paraId="1ECD2112" w14:textId="77777777" w:rsidR="00EA5C32" w:rsidRPr="00EA5C32" w:rsidRDefault="00EA5C32" w:rsidP="00EA5C32">
            <w:pPr>
              <w:pStyle w:val="TableText"/>
              <w:jc w:val="right"/>
            </w:pPr>
            <w:r w:rsidRPr="00EA5C32">
              <w:t xml:space="preserve"> 22,000 </w:t>
            </w:r>
          </w:p>
        </w:tc>
        <w:tc>
          <w:tcPr>
            <w:tcW w:w="1899" w:type="dxa"/>
            <w:vAlign w:val="center"/>
          </w:tcPr>
          <w:p w14:paraId="3E7A7154" w14:textId="77777777" w:rsidR="00EA5C32" w:rsidRPr="00EA5C32" w:rsidRDefault="00EA5C32" w:rsidP="00EA5C32">
            <w:pPr>
              <w:pStyle w:val="TableText"/>
              <w:jc w:val="right"/>
            </w:pPr>
            <w:r w:rsidRPr="00EA5C32">
              <w:t>17,000</w:t>
            </w:r>
          </w:p>
        </w:tc>
      </w:tr>
      <w:tr w:rsidR="00EA5C32" w:rsidRPr="00EA5C32" w14:paraId="6A675AC8" w14:textId="77777777" w:rsidTr="00EA5C32">
        <w:trPr>
          <w:cantSplit/>
        </w:trPr>
        <w:tc>
          <w:tcPr>
            <w:tcW w:w="6521" w:type="dxa"/>
            <w:tcBorders>
              <w:bottom w:val="single" w:sz="4" w:space="0" w:color="auto"/>
            </w:tcBorders>
          </w:tcPr>
          <w:p w14:paraId="798B4021" w14:textId="77777777" w:rsidR="00EA5C32" w:rsidRPr="00EA5C32" w:rsidRDefault="00EA5C32" w:rsidP="00EA5C32">
            <w:pPr>
              <w:pStyle w:val="TableText"/>
              <w:ind w:left="0"/>
            </w:pPr>
            <w:r w:rsidRPr="00EA5C32">
              <w:t>Trade and other receivables</w:t>
            </w:r>
          </w:p>
        </w:tc>
        <w:tc>
          <w:tcPr>
            <w:tcW w:w="1898" w:type="dxa"/>
            <w:tcBorders>
              <w:bottom w:val="single" w:sz="4" w:space="0" w:color="auto"/>
            </w:tcBorders>
            <w:shd w:val="clear" w:color="auto" w:fill="D9D9D9" w:themeFill="background1" w:themeFillShade="D9"/>
            <w:vAlign w:val="center"/>
          </w:tcPr>
          <w:p w14:paraId="6E282167" w14:textId="77777777" w:rsidR="00EA5C32" w:rsidRPr="00EA5C32" w:rsidRDefault="00EA5C32" w:rsidP="00EA5C32">
            <w:pPr>
              <w:pStyle w:val="TableText"/>
              <w:jc w:val="right"/>
            </w:pPr>
            <w:r w:rsidRPr="00EA5C32">
              <w:t xml:space="preserve"> 12,435 </w:t>
            </w:r>
          </w:p>
        </w:tc>
        <w:tc>
          <w:tcPr>
            <w:tcW w:w="1899" w:type="dxa"/>
            <w:tcBorders>
              <w:bottom w:val="single" w:sz="4" w:space="0" w:color="auto"/>
            </w:tcBorders>
            <w:vAlign w:val="center"/>
          </w:tcPr>
          <w:p w14:paraId="14967085" w14:textId="77777777" w:rsidR="00EA5C32" w:rsidRPr="00EA5C32" w:rsidRDefault="00EA5C32" w:rsidP="00EA5C32">
            <w:pPr>
              <w:pStyle w:val="TableText"/>
              <w:jc w:val="right"/>
            </w:pPr>
            <w:r w:rsidRPr="00EA5C32">
              <w:t>14,437</w:t>
            </w:r>
          </w:p>
        </w:tc>
      </w:tr>
      <w:tr w:rsidR="00EA5C32" w:rsidRPr="00EA5C32" w14:paraId="52DBB6B5" w14:textId="77777777" w:rsidTr="00EA5C32">
        <w:trPr>
          <w:cantSplit/>
        </w:trPr>
        <w:tc>
          <w:tcPr>
            <w:tcW w:w="6521" w:type="dxa"/>
            <w:tcBorders>
              <w:top w:val="single" w:sz="4" w:space="0" w:color="auto"/>
              <w:bottom w:val="single" w:sz="4" w:space="0" w:color="auto"/>
            </w:tcBorders>
          </w:tcPr>
          <w:p w14:paraId="1A129AE7" w14:textId="77777777" w:rsidR="00EA5C32" w:rsidRPr="00EA5C32" w:rsidRDefault="00EA5C32" w:rsidP="00EA5C32">
            <w:pPr>
              <w:pStyle w:val="TableText"/>
              <w:ind w:left="0"/>
              <w:rPr>
                <w:b/>
                <w:bCs/>
              </w:rPr>
            </w:pPr>
            <w:r w:rsidRPr="00EA5C32">
              <w:rPr>
                <w:b/>
                <w:bCs/>
              </w:rPr>
              <w:t>Total current assets</w:t>
            </w:r>
          </w:p>
        </w:tc>
        <w:tc>
          <w:tcPr>
            <w:tcW w:w="1898" w:type="dxa"/>
            <w:tcBorders>
              <w:top w:val="single" w:sz="4" w:space="0" w:color="auto"/>
              <w:bottom w:val="single" w:sz="4" w:space="0" w:color="auto"/>
            </w:tcBorders>
            <w:shd w:val="clear" w:color="auto" w:fill="D9D9D9" w:themeFill="background1" w:themeFillShade="D9"/>
            <w:vAlign w:val="center"/>
          </w:tcPr>
          <w:p w14:paraId="56CD4724" w14:textId="77777777" w:rsidR="00EA5C32" w:rsidRPr="00EA5C32" w:rsidRDefault="00EA5C32" w:rsidP="00EA5C32">
            <w:pPr>
              <w:pStyle w:val="TableText"/>
              <w:jc w:val="right"/>
              <w:rPr>
                <w:b/>
                <w:bCs/>
              </w:rPr>
            </w:pPr>
            <w:r w:rsidRPr="00EA5C32">
              <w:rPr>
                <w:b/>
                <w:bCs/>
              </w:rPr>
              <w:t>44,729</w:t>
            </w:r>
          </w:p>
        </w:tc>
        <w:tc>
          <w:tcPr>
            <w:tcW w:w="1899" w:type="dxa"/>
            <w:tcBorders>
              <w:top w:val="single" w:sz="4" w:space="0" w:color="auto"/>
              <w:bottom w:val="single" w:sz="4" w:space="0" w:color="auto"/>
            </w:tcBorders>
            <w:vAlign w:val="center"/>
          </w:tcPr>
          <w:p w14:paraId="1C2F04E6" w14:textId="77777777" w:rsidR="00EA5C32" w:rsidRPr="00EA5C32" w:rsidRDefault="00EA5C32" w:rsidP="00EA5C32">
            <w:pPr>
              <w:pStyle w:val="TableText"/>
              <w:jc w:val="right"/>
              <w:rPr>
                <w:b/>
                <w:bCs/>
              </w:rPr>
            </w:pPr>
            <w:r w:rsidRPr="00EA5C32">
              <w:rPr>
                <w:b/>
                <w:bCs/>
              </w:rPr>
              <w:t>46,123</w:t>
            </w:r>
          </w:p>
        </w:tc>
      </w:tr>
      <w:tr w:rsidR="00EA5C32" w:rsidRPr="00EA5C32" w14:paraId="0959045B" w14:textId="77777777" w:rsidTr="00EA5C32">
        <w:trPr>
          <w:cantSplit/>
        </w:trPr>
        <w:tc>
          <w:tcPr>
            <w:tcW w:w="6521" w:type="dxa"/>
          </w:tcPr>
          <w:p w14:paraId="5922A5D8" w14:textId="77777777" w:rsidR="00EA5C32" w:rsidRPr="00EA5C32" w:rsidRDefault="00EA5C32" w:rsidP="00EA5C32">
            <w:pPr>
              <w:pStyle w:val="TableText"/>
              <w:ind w:left="0"/>
              <w:rPr>
                <w:b/>
                <w:bCs/>
              </w:rPr>
            </w:pPr>
            <w:r w:rsidRPr="00EA5C32">
              <w:rPr>
                <w:b/>
                <w:bCs/>
              </w:rPr>
              <w:t>Non-current assets</w:t>
            </w:r>
          </w:p>
        </w:tc>
        <w:tc>
          <w:tcPr>
            <w:tcW w:w="1898" w:type="dxa"/>
            <w:shd w:val="clear" w:color="auto" w:fill="D9D9D9" w:themeFill="background1" w:themeFillShade="D9"/>
            <w:vAlign w:val="center"/>
          </w:tcPr>
          <w:p w14:paraId="214140FD" w14:textId="77777777" w:rsidR="00EA5C32" w:rsidRPr="00EA5C32" w:rsidRDefault="00EA5C32" w:rsidP="00EA5C32">
            <w:pPr>
              <w:pStyle w:val="TableText"/>
              <w:jc w:val="right"/>
              <w:rPr>
                <w:b/>
                <w:bCs/>
              </w:rPr>
            </w:pPr>
          </w:p>
        </w:tc>
        <w:tc>
          <w:tcPr>
            <w:tcW w:w="1899" w:type="dxa"/>
            <w:vAlign w:val="center"/>
          </w:tcPr>
          <w:p w14:paraId="5F66E481" w14:textId="77777777" w:rsidR="00EA5C32" w:rsidRPr="00EA5C32" w:rsidRDefault="00EA5C32" w:rsidP="00EA5C32">
            <w:pPr>
              <w:pStyle w:val="TableText"/>
              <w:jc w:val="right"/>
              <w:rPr>
                <w:b/>
                <w:bCs/>
              </w:rPr>
            </w:pPr>
          </w:p>
        </w:tc>
      </w:tr>
      <w:tr w:rsidR="00EA5C32" w:rsidRPr="00EA5C32" w14:paraId="346871C5" w14:textId="77777777" w:rsidTr="00EA5C32">
        <w:trPr>
          <w:cantSplit/>
        </w:trPr>
        <w:tc>
          <w:tcPr>
            <w:tcW w:w="6521" w:type="dxa"/>
          </w:tcPr>
          <w:p w14:paraId="3708C238" w14:textId="77777777" w:rsidR="00EA5C32" w:rsidRPr="00EA5C32" w:rsidRDefault="00EA5C32" w:rsidP="00EA5C32">
            <w:pPr>
              <w:pStyle w:val="TableText"/>
              <w:ind w:left="0"/>
            </w:pPr>
            <w:r w:rsidRPr="00EA5C32">
              <w:t xml:space="preserve">Property, </w:t>
            </w:r>
            <w:proofErr w:type="gramStart"/>
            <w:r w:rsidRPr="00EA5C32">
              <w:t>plant</w:t>
            </w:r>
            <w:proofErr w:type="gramEnd"/>
            <w:r w:rsidRPr="00EA5C32">
              <w:t xml:space="preserve"> and equipment</w:t>
            </w:r>
          </w:p>
        </w:tc>
        <w:tc>
          <w:tcPr>
            <w:tcW w:w="1898" w:type="dxa"/>
            <w:shd w:val="clear" w:color="auto" w:fill="D9D9D9" w:themeFill="background1" w:themeFillShade="D9"/>
            <w:vAlign w:val="center"/>
          </w:tcPr>
          <w:p w14:paraId="660FA9CB" w14:textId="77777777" w:rsidR="00EA5C32" w:rsidRPr="00EA5C32" w:rsidRDefault="00EA5C32" w:rsidP="00EA5C32">
            <w:pPr>
              <w:pStyle w:val="TableText"/>
              <w:jc w:val="right"/>
            </w:pPr>
            <w:r w:rsidRPr="00EA5C32">
              <w:t xml:space="preserve"> 6,410 </w:t>
            </w:r>
          </w:p>
        </w:tc>
        <w:tc>
          <w:tcPr>
            <w:tcW w:w="1899" w:type="dxa"/>
            <w:vAlign w:val="center"/>
          </w:tcPr>
          <w:p w14:paraId="01F1CD95" w14:textId="77777777" w:rsidR="00EA5C32" w:rsidRPr="00EA5C32" w:rsidRDefault="00EA5C32" w:rsidP="00EA5C32">
            <w:pPr>
              <w:pStyle w:val="TableText"/>
              <w:jc w:val="right"/>
            </w:pPr>
            <w:r w:rsidRPr="00EA5C32">
              <w:t>7,060</w:t>
            </w:r>
          </w:p>
        </w:tc>
      </w:tr>
      <w:tr w:rsidR="00EA5C32" w:rsidRPr="00EA5C32" w14:paraId="7C4E139C" w14:textId="77777777" w:rsidTr="00EA5C32">
        <w:trPr>
          <w:cantSplit/>
        </w:trPr>
        <w:tc>
          <w:tcPr>
            <w:tcW w:w="6521" w:type="dxa"/>
            <w:tcBorders>
              <w:bottom w:val="single" w:sz="4" w:space="0" w:color="auto"/>
            </w:tcBorders>
          </w:tcPr>
          <w:p w14:paraId="25E16597" w14:textId="77777777" w:rsidR="00EA5C32" w:rsidRPr="00EA5C32" w:rsidRDefault="00EA5C32" w:rsidP="00EA5C32">
            <w:pPr>
              <w:pStyle w:val="TableText"/>
              <w:ind w:left="0"/>
            </w:pPr>
            <w:r w:rsidRPr="00EA5C32">
              <w:t xml:space="preserve">Loan to </w:t>
            </w:r>
            <w:proofErr w:type="spellStart"/>
            <w:r w:rsidRPr="00EA5C32">
              <w:t>Avivo</w:t>
            </w:r>
            <w:proofErr w:type="spellEnd"/>
            <w:r w:rsidRPr="00EA5C32">
              <w:t>: Live Life Foundation Inc</w:t>
            </w:r>
          </w:p>
        </w:tc>
        <w:tc>
          <w:tcPr>
            <w:tcW w:w="1898" w:type="dxa"/>
            <w:tcBorders>
              <w:bottom w:val="single" w:sz="4" w:space="0" w:color="auto"/>
            </w:tcBorders>
            <w:shd w:val="clear" w:color="auto" w:fill="D9D9D9" w:themeFill="background1" w:themeFillShade="D9"/>
            <w:vAlign w:val="center"/>
          </w:tcPr>
          <w:p w14:paraId="53032639" w14:textId="77777777" w:rsidR="00EA5C32" w:rsidRPr="00EA5C32" w:rsidRDefault="00EA5C32" w:rsidP="00EA5C32">
            <w:pPr>
              <w:pStyle w:val="TableText"/>
              <w:jc w:val="right"/>
            </w:pPr>
            <w:r w:rsidRPr="00EA5C32">
              <w:t xml:space="preserve"> 6,902 </w:t>
            </w:r>
          </w:p>
        </w:tc>
        <w:tc>
          <w:tcPr>
            <w:tcW w:w="1899" w:type="dxa"/>
            <w:tcBorders>
              <w:bottom w:val="single" w:sz="4" w:space="0" w:color="auto"/>
            </w:tcBorders>
            <w:vAlign w:val="center"/>
          </w:tcPr>
          <w:p w14:paraId="3ADE46C7" w14:textId="77777777" w:rsidR="00EA5C32" w:rsidRPr="00EA5C32" w:rsidRDefault="00EA5C32" w:rsidP="00EA5C32">
            <w:pPr>
              <w:pStyle w:val="TableText"/>
              <w:jc w:val="right"/>
            </w:pPr>
            <w:r w:rsidRPr="00EA5C32">
              <w:t>6,902</w:t>
            </w:r>
          </w:p>
        </w:tc>
      </w:tr>
      <w:tr w:rsidR="00A27CCB" w:rsidRPr="00EA5C32" w14:paraId="3B788B3F" w14:textId="77777777" w:rsidTr="00EA5C32">
        <w:trPr>
          <w:cantSplit/>
        </w:trPr>
        <w:tc>
          <w:tcPr>
            <w:tcW w:w="6521" w:type="dxa"/>
            <w:tcBorders>
              <w:top w:val="single" w:sz="4" w:space="0" w:color="auto"/>
              <w:bottom w:val="single" w:sz="4" w:space="0" w:color="auto"/>
            </w:tcBorders>
          </w:tcPr>
          <w:p w14:paraId="5A534746" w14:textId="77777777" w:rsidR="00EA5C32" w:rsidRPr="00EA5C32" w:rsidRDefault="00EA5C32" w:rsidP="00EA5C32">
            <w:pPr>
              <w:pStyle w:val="TableText"/>
              <w:ind w:left="0"/>
              <w:rPr>
                <w:b/>
                <w:bCs/>
              </w:rPr>
            </w:pPr>
            <w:r w:rsidRPr="00EA5C32">
              <w:rPr>
                <w:b/>
                <w:bCs/>
              </w:rPr>
              <w:t>Total non-current assets</w:t>
            </w:r>
          </w:p>
        </w:tc>
        <w:tc>
          <w:tcPr>
            <w:tcW w:w="1898" w:type="dxa"/>
            <w:tcBorders>
              <w:top w:val="single" w:sz="4" w:space="0" w:color="auto"/>
              <w:bottom w:val="single" w:sz="4" w:space="0" w:color="auto"/>
            </w:tcBorders>
            <w:shd w:val="clear" w:color="auto" w:fill="D9D9D9" w:themeFill="background1" w:themeFillShade="D9"/>
            <w:vAlign w:val="center"/>
          </w:tcPr>
          <w:p w14:paraId="47E22F28" w14:textId="77777777" w:rsidR="00EA5C32" w:rsidRPr="00EA5C32" w:rsidRDefault="00EA5C32" w:rsidP="00EA5C32">
            <w:pPr>
              <w:pStyle w:val="TableText"/>
              <w:jc w:val="right"/>
              <w:rPr>
                <w:b/>
                <w:bCs/>
              </w:rPr>
            </w:pPr>
            <w:r w:rsidRPr="00EA5C32">
              <w:rPr>
                <w:b/>
                <w:bCs/>
              </w:rPr>
              <w:t>13,312</w:t>
            </w:r>
          </w:p>
        </w:tc>
        <w:tc>
          <w:tcPr>
            <w:tcW w:w="1899" w:type="dxa"/>
            <w:tcBorders>
              <w:top w:val="single" w:sz="4" w:space="0" w:color="auto"/>
              <w:bottom w:val="single" w:sz="4" w:space="0" w:color="auto"/>
            </w:tcBorders>
            <w:vAlign w:val="center"/>
          </w:tcPr>
          <w:p w14:paraId="4B37EC7E" w14:textId="77777777" w:rsidR="00EA5C32" w:rsidRPr="00EA5C32" w:rsidRDefault="00EA5C32" w:rsidP="00EA5C32">
            <w:pPr>
              <w:pStyle w:val="TableText"/>
              <w:jc w:val="right"/>
              <w:rPr>
                <w:b/>
                <w:bCs/>
              </w:rPr>
            </w:pPr>
            <w:r w:rsidRPr="00EA5C32">
              <w:rPr>
                <w:b/>
                <w:bCs/>
              </w:rPr>
              <w:t>13,962</w:t>
            </w:r>
          </w:p>
        </w:tc>
      </w:tr>
      <w:tr w:rsidR="00A27CCB" w:rsidRPr="00EA5C32" w14:paraId="04AEF567" w14:textId="77777777" w:rsidTr="00EA5C32">
        <w:trPr>
          <w:cantSplit/>
        </w:trPr>
        <w:tc>
          <w:tcPr>
            <w:tcW w:w="6521" w:type="dxa"/>
            <w:tcBorders>
              <w:top w:val="single" w:sz="4" w:space="0" w:color="auto"/>
              <w:bottom w:val="single" w:sz="18" w:space="0" w:color="auto"/>
            </w:tcBorders>
          </w:tcPr>
          <w:p w14:paraId="261876EB" w14:textId="77777777" w:rsidR="00EA5C32" w:rsidRPr="00EA5C32" w:rsidRDefault="00EA5C32" w:rsidP="00EA5C32">
            <w:pPr>
              <w:pStyle w:val="TableText"/>
              <w:spacing w:before="120" w:after="120"/>
              <w:ind w:left="0"/>
              <w:rPr>
                <w:b/>
                <w:bCs/>
              </w:rPr>
            </w:pPr>
            <w:r w:rsidRPr="00EA5C32">
              <w:rPr>
                <w:b/>
                <w:bCs/>
              </w:rPr>
              <w:t>TOTAL ASSETS</w:t>
            </w:r>
          </w:p>
        </w:tc>
        <w:tc>
          <w:tcPr>
            <w:tcW w:w="1898" w:type="dxa"/>
            <w:tcBorders>
              <w:top w:val="single" w:sz="4" w:space="0" w:color="auto"/>
              <w:bottom w:val="single" w:sz="18" w:space="0" w:color="auto"/>
            </w:tcBorders>
            <w:shd w:val="clear" w:color="auto" w:fill="D9D9D9" w:themeFill="background1" w:themeFillShade="D9"/>
            <w:vAlign w:val="center"/>
          </w:tcPr>
          <w:p w14:paraId="1396CEEB" w14:textId="77777777" w:rsidR="00EA5C32" w:rsidRPr="00EA5C32" w:rsidRDefault="00EA5C32" w:rsidP="00EA5C32">
            <w:pPr>
              <w:pStyle w:val="TableText"/>
              <w:spacing w:before="120" w:after="120"/>
              <w:jc w:val="right"/>
              <w:rPr>
                <w:b/>
                <w:bCs/>
              </w:rPr>
            </w:pPr>
            <w:r w:rsidRPr="00EA5C32">
              <w:rPr>
                <w:b/>
                <w:bCs/>
              </w:rPr>
              <w:t>58,041</w:t>
            </w:r>
          </w:p>
        </w:tc>
        <w:tc>
          <w:tcPr>
            <w:tcW w:w="1899" w:type="dxa"/>
            <w:tcBorders>
              <w:top w:val="single" w:sz="4" w:space="0" w:color="auto"/>
              <w:bottom w:val="single" w:sz="18" w:space="0" w:color="auto"/>
            </w:tcBorders>
            <w:vAlign w:val="center"/>
          </w:tcPr>
          <w:p w14:paraId="1B8CD408" w14:textId="77777777" w:rsidR="00EA5C32" w:rsidRPr="00EA5C32" w:rsidRDefault="00EA5C32" w:rsidP="00EA5C32">
            <w:pPr>
              <w:pStyle w:val="TableText"/>
              <w:spacing w:before="120" w:after="120"/>
              <w:jc w:val="right"/>
              <w:rPr>
                <w:b/>
                <w:bCs/>
              </w:rPr>
            </w:pPr>
            <w:r w:rsidRPr="00EA5C32">
              <w:rPr>
                <w:b/>
                <w:bCs/>
              </w:rPr>
              <w:t>60,085</w:t>
            </w:r>
          </w:p>
        </w:tc>
      </w:tr>
      <w:tr w:rsidR="00EA5C32" w:rsidRPr="00B67DAF" w14:paraId="716DECEF" w14:textId="77777777" w:rsidTr="00EA5C32">
        <w:trPr>
          <w:cantSplit/>
        </w:trPr>
        <w:tc>
          <w:tcPr>
            <w:tcW w:w="6521" w:type="dxa"/>
          </w:tcPr>
          <w:p w14:paraId="3D52A857" w14:textId="056594F3" w:rsidR="00EA5C32" w:rsidRPr="00B67DAF" w:rsidRDefault="00EA5C32" w:rsidP="00EA5C32">
            <w:pPr>
              <w:pStyle w:val="TableText"/>
              <w:keepNext/>
              <w:ind w:left="0"/>
            </w:pPr>
          </w:p>
        </w:tc>
        <w:tc>
          <w:tcPr>
            <w:tcW w:w="1898" w:type="dxa"/>
            <w:shd w:val="clear" w:color="auto" w:fill="D9D9D9" w:themeFill="background1" w:themeFillShade="D9"/>
            <w:vAlign w:val="center"/>
          </w:tcPr>
          <w:p w14:paraId="2710F975" w14:textId="77777777" w:rsidR="00EA5C32" w:rsidRPr="00B67DAF" w:rsidRDefault="00EA5C32" w:rsidP="00EA5C32">
            <w:pPr>
              <w:pStyle w:val="TableText"/>
              <w:keepNext/>
              <w:jc w:val="right"/>
            </w:pPr>
          </w:p>
        </w:tc>
        <w:tc>
          <w:tcPr>
            <w:tcW w:w="1899" w:type="dxa"/>
            <w:vAlign w:val="center"/>
          </w:tcPr>
          <w:p w14:paraId="513ECDE7" w14:textId="77777777" w:rsidR="00EA5C32" w:rsidRPr="00B67DAF" w:rsidRDefault="00EA5C32" w:rsidP="00EA5C32">
            <w:pPr>
              <w:pStyle w:val="TableText"/>
              <w:keepNext/>
              <w:jc w:val="right"/>
            </w:pPr>
          </w:p>
        </w:tc>
      </w:tr>
      <w:tr w:rsidR="00B67DAF" w:rsidRPr="00B67DAF" w14:paraId="481E085D" w14:textId="77777777" w:rsidTr="00EA5C32">
        <w:trPr>
          <w:cantSplit/>
        </w:trPr>
        <w:tc>
          <w:tcPr>
            <w:tcW w:w="6521" w:type="dxa"/>
          </w:tcPr>
          <w:p w14:paraId="151D4CD1" w14:textId="77F47130" w:rsidR="00B67DAF" w:rsidRPr="00B67DAF" w:rsidRDefault="00B67DAF" w:rsidP="00B67DAF">
            <w:pPr>
              <w:pStyle w:val="TableText"/>
              <w:keepNext/>
              <w:ind w:left="0"/>
              <w:rPr>
                <w:b/>
                <w:bCs/>
              </w:rPr>
            </w:pPr>
            <w:r w:rsidRPr="00B67DAF">
              <w:rPr>
                <w:b/>
                <w:bCs/>
              </w:rPr>
              <w:t>Current liabilities</w:t>
            </w:r>
          </w:p>
        </w:tc>
        <w:tc>
          <w:tcPr>
            <w:tcW w:w="1898" w:type="dxa"/>
            <w:shd w:val="clear" w:color="auto" w:fill="D9D9D9" w:themeFill="background1" w:themeFillShade="D9"/>
            <w:vAlign w:val="center"/>
          </w:tcPr>
          <w:p w14:paraId="2018B6E9" w14:textId="77777777" w:rsidR="00B67DAF" w:rsidRPr="00B67DAF" w:rsidRDefault="00B67DAF" w:rsidP="00B67DAF">
            <w:pPr>
              <w:pStyle w:val="TableText"/>
              <w:keepNext/>
              <w:jc w:val="right"/>
              <w:rPr>
                <w:b/>
                <w:bCs/>
              </w:rPr>
            </w:pPr>
          </w:p>
        </w:tc>
        <w:tc>
          <w:tcPr>
            <w:tcW w:w="1899" w:type="dxa"/>
            <w:vAlign w:val="center"/>
          </w:tcPr>
          <w:p w14:paraId="6F2DB8F9" w14:textId="77777777" w:rsidR="00B67DAF" w:rsidRPr="00B67DAF" w:rsidRDefault="00B67DAF" w:rsidP="00B67DAF">
            <w:pPr>
              <w:pStyle w:val="TableText"/>
              <w:keepNext/>
              <w:jc w:val="right"/>
              <w:rPr>
                <w:b/>
                <w:bCs/>
              </w:rPr>
            </w:pPr>
          </w:p>
        </w:tc>
      </w:tr>
      <w:tr w:rsidR="00B67DAF" w:rsidRPr="00EA5C32" w14:paraId="3C6F6D28" w14:textId="77777777" w:rsidTr="00EA5C32">
        <w:trPr>
          <w:cantSplit/>
        </w:trPr>
        <w:tc>
          <w:tcPr>
            <w:tcW w:w="6521" w:type="dxa"/>
          </w:tcPr>
          <w:p w14:paraId="21277ABF" w14:textId="77777777" w:rsidR="00B67DAF" w:rsidRPr="00EA5C32" w:rsidRDefault="00B67DAF" w:rsidP="00B67DAF">
            <w:pPr>
              <w:pStyle w:val="TableText"/>
              <w:ind w:left="0"/>
            </w:pPr>
            <w:r w:rsidRPr="00EA5C32">
              <w:t>Trade and other payables</w:t>
            </w:r>
          </w:p>
        </w:tc>
        <w:tc>
          <w:tcPr>
            <w:tcW w:w="1898" w:type="dxa"/>
            <w:shd w:val="clear" w:color="auto" w:fill="D9D9D9" w:themeFill="background1" w:themeFillShade="D9"/>
            <w:vAlign w:val="center"/>
          </w:tcPr>
          <w:p w14:paraId="029CB6D9" w14:textId="77777777" w:rsidR="00B67DAF" w:rsidRPr="00EA5C32" w:rsidRDefault="00B67DAF" w:rsidP="00B67DAF">
            <w:pPr>
              <w:pStyle w:val="TableText"/>
              <w:jc w:val="right"/>
            </w:pPr>
            <w:r w:rsidRPr="00EA5C32">
              <w:t xml:space="preserve"> 22,799 </w:t>
            </w:r>
          </w:p>
        </w:tc>
        <w:tc>
          <w:tcPr>
            <w:tcW w:w="1899" w:type="dxa"/>
            <w:vAlign w:val="center"/>
          </w:tcPr>
          <w:p w14:paraId="511F64EB" w14:textId="77777777" w:rsidR="00B67DAF" w:rsidRPr="00EA5C32" w:rsidRDefault="00B67DAF" w:rsidP="00B67DAF">
            <w:pPr>
              <w:pStyle w:val="TableText"/>
              <w:jc w:val="right"/>
            </w:pPr>
            <w:r w:rsidRPr="00EA5C32">
              <w:t>28,071</w:t>
            </w:r>
          </w:p>
        </w:tc>
      </w:tr>
      <w:tr w:rsidR="00B67DAF" w:rsidRPr="00EA5C32" w14:paraId="4DDC0525" w14:textId="77777777" w:rsidTr="00EA5C32">
        <w:trPr>
          <w:cantSplit/>
        </w:trPr>
        <w:tc>
          <w:tcPr>
            <w:tcW w:w="6521" w:type="dxa"/>
          </w:tcPr>
          <w:p w14:paraId="19BB6396" w14:textId="77777777" w:rsidR="00B67DAF" w:rsidRPr="00EA5C32" w:rsidRDefault="00B67DAF" w:rsidP="00B67DAF">
            <w:pPr>
              <w:pStyle w:val="TableText"/>
              <w:ind w:left="0"/>
            </w:pPr>
            <w:r w:rsidRPr="00EA5C32">
              <w:t>Lease liabilities</w:t>
            </w:r>
          </w:p>
        </w:tc>
        <w:tc>
          <w:tcPr>
            <w:tcW w:w="1898" w:type="dxa"/>
            <w:shd w:val="clear" w:color="auto" w:fill="D9D9D9" w:themeFill="background1" w:themeFillShade="D9"/>
            <w:vAlign w:val="center"/>
          </w:tcPr>
          <w:p w14:paraId="44E832FB" w14:textId="77777777" w:rsidR="00B67DAF" w:rsidRPr="00EA5C32" w:rsidRDefault="00B67DAF" w:rsidP="00B67DAF">
            <w:pPr>
              <w:pStyle w:val="TableText"/>
              <w:jc w:val="right"/>
            </w:pPr>
            <w:r w:rsidRPr="00EA5C32">
              <w:t xml:space="preserve"> 217 </w:t>
            </w:r>
          </w:p>
        </w:tc>
        <w:tc>
          <w:tcPr>
            <w:tcW w:w="1899" w:type="dxa"/>
            <w:vAlign w:val="center"/>
          </w:tcPr>
          <w:p w14:paraId="1AF89796" w14:textId="77777777" w:rsidR="00B67DAF" w:rsidRPr="00EA5C32" w:rsidRDefault="00B67DAF" w:rsidP="00B67DAF">
            <w:pPr>
              <w:pStyle w:val="TableText"/>
              <w:jc w:val="right"/>
            </w:pPr>
            <w:r w:rsidRPr="00EA5C32">
              <w:t>271</w:t>
            </w:r>
          </w:p>
        </w:tc>
      </w:tr>
      <w:tr w:rsidR="00B67DAF" w:rsidRPr="00EA5C32" w14:paraId="4188816C" w14:textId="77777777" w:rsidTr="00EA5C32">
        <w:trPr>
          <w:cantSplit/>
        </w:trPr>
        <w:tc>
          <w:tcPr>
            <w:tcW w:w="6521" w:type="dxa"/>
            <w:tcBorders>
              <w:bottom w:val="single" w:sz="4" w:space="0" w:color="auto"/>
            </w:tcBorders>
          </w:tcPr>
          <w:p w14:paraId="0CBE4A5D" w14:textId="77777777" w:rsidR="00B67DAF" w:rsidRPr="00EA5C32" w:rsidRDefault="00B67DAF" w:rsidP="00B67DAF">
            <w:pPr>
              <w:pStyle w:val="TableText"/>
              <w:ind w:left="0"/>
            </w:pPr>
            <w:r w:rsidRPr="00EA5C32">
              <w:t>Provisions</w:t>
            </w:r>
          </w:p>
        </w:tc>
        <w:tc>
          <w:tcPr>
            <w:tcW w:w="1898" w:type="dxa"/>
            <w:tcBorders>
              <w:bottom w:val="single" w:sz="4" w:space="0" w:color="auto"/>
            </w:tcBorders>
            <w:shd w:val="clear" w:color="auto" w:fill="D9D9D9" w:themeFill="background1" w:themeFillShade="D9"/>
            <w:vAlign w:val="center"/>
          </w:tcPr>
          <w:p w14:paraId="7B37972A" w14:textId="77777777" w:rsidR="00B67DAF" w:rsidRPr="00EA5C32" w:rsidRDefault="00B67DAF" w:rsidP="00B67DAF">
            <w:pPr>
              <w:pStyle w:val="TableText"/>
              <w:jc w:val="right"/>
            </w:pPr>
            <w:r w:rsidRPr="00EA5C32">
              <w:t xml:space="preserve"> 8,644 </w:t>
            </w:r>
          </w:p>
        </w:tc>
        <w:tc>
          <w:tcPr>
            <w:tcW w:w="1899" w:type="dxa"/>
            <w:tcBorders>
              <w:bottom w:val="single" w:sz="4" w:space="0" w:color="auto"/>
            </w:tcBorders>
            <w:vAlign w:val="center"/>
          </w:tcPr>
          <w:p w14:paraId="1EAF2E1B" w14:textId="77777777" w:rsidR="00B67DAF" w:rsidRPr="00EA5C32" w:rsidRDefault="00B67DAF" w:rsidP="00B67DAF">
            <w:pPr>
              <w:pStyle w:val="TableText"/>
              <w:jc w:val="right"/>
            </w:pPr>
            <w:r w:rsidRPr="00EA5C32">
              <w:t>6,922</w:t>
            </w:r>
          </w:p>
        </w:tc>
      </w:tr>
      <w:tr w:rsidR="00B67DAF" w:rsidRPr="00EA5C32" w14:paraId="5F54B812" w14:textId="77777777" w:rsidTr="00EA5C32">
        <w:trPr>
          <w:cantSplit/>
        </w:trPr>
        <w:tc>
          <w:tcPr>
            <w:tcW w:w="6521" w:type="dxa"/>
            <w:tcBorders>
              <w:top w:val="single" w:sz="4" w:space="0" w:color="auto"/>
              <w:bottom w:val="single" w:sz="4" w:space="0" w:color="auto"/>
            </w:tcBorders>
          </w:tcPr>
          <w:p w14:paraId="2CD9EE3E" w14:textId="77777777" w:rsidR="00B67DAF" w:rsidRPr="00EA5C32" w:rsidRDefault="00B67DAF" w:rsidP="00B67DAF">
            <w:pPr>
              <w:pStyle w:val="TableText"/>
              <w:ind w:left="0"/>
              <w:rPr>
                <w:b/>
                <w:bCs/>
              </w:rPr>
            </w:pPr>
            <w:r w:rsidRPr="00EA5C32">
              <w:rPr>
                <w:b/>
                <w:bCs/>
              </w:rPr>
              <w:t>Total current liabilities</w:t>
            </w:r>
          </w:p>
        </w:tc>
        <w:tc>
          <w:tcPr>
            <w:tcW w:w="1898" w:type="dxa"/>
            <w:tcBorders>
              <w:top w:val="single" w:sz="4" w:space="0" w:color="auto"/>
              <w:bottom w:val="single" w:sz="4" w:space="0" w:color="auto"/>
            </w:tcBorders>
            <w:shd w:val="clear" w:color="auto" w:fill="D9D9D9" w:themeFill="background1" w:themeFillShade="D9"/>
            <w:vAlign w:val="center"/>
          </w:tcPr>
          <w:p w14:paraId="3F958A7A" w14:textId="77777777" w:rsidR="00B67DAF" w:rsidRPr="00EA5C32" w:rsidRDefault="00B67DAF" w:rsidP="00B67DAF">
            <w:pPr>
              <w:pStyle w:val="TableText"/>
              <w:jc w:val="right"/>
              <w:rPr>
                <w:b/>
                <w:bCs/>
              </w:rPr>
            </w:pPr>
            <w:r w:rsidRPr="00EA5C32">
              <w:rPr>
                <w:b/>
                <w:bCs/>
              </w:rPr>
              <w:t>31,659</w:t>
            </w:r>
          </w:p>
        </w:tc>
        <w:tc>
          <w:tcPr>
            <w:tcW w:w="1899" w:type="dxa"/>
            <w:tcBorders>
              <w:top w:val="single" w:sz="4" w:space="0" w:color="auto"/>
              <w:bottom w:val="single" w:sz="4" w:space="0" w:color="auto"/>
            </w:tcBorders>
            <w:vAlign w:val="center"/>
          </w:tcPr>
          <w:p w14:paraId="66EE4EDF" w14:textId="77777777" w:rsidR="00B67DAF" w:rsidRPr="00EA5C32" w:rsidRDefault="00B67DAF" w:rsidP="00B67DAF">
            <w:pPr>
              <w:pStyle w:val="TableText"/>
              <w:jc w:val="right"/>
              <w:rPr>
                <w:b/>
                <w:bCs/>
              </w:rPr>
            </w:pPr>
            <w:r w:rsidRPr="00EA5C32">
              <w:rPr>
                <w:b/>
                <w:bCs/>
              </w:rPr>
              <w:t>35,264</w:t>
            </w:r>
          </w:p>
        </w:tc>
      </w:tr>
      <w:tr w:rsidR="00B67DAF" w:rsidRPr="00EA5C32" w14:paraId="2B79DB6B" w14:textId="77777777" w:rsidTr="00EA5C32">
        <w:trPr>
          <w:cantSplit/>
        </w:trPr>
        <w:tc>
          <w:tcPr>
            <w:tcW w:w="6521" w:type="dxa"/>
          </w:tcPr>
          <w:p w14:paraId="26631614" w14:textId="77777777" w:rsidR="00B67DAF" w:rsidRPr="00EA5C32" w:rsidRDefault="00B67DAF" w:rsidP="00B67DAF">
            <w:pPr>
              <w:pStyle w:val="TableText"/>
              <w:ind w:left="0"/>
              <w:rPr>
                <w:b/>
                <w:bCs/>
              </w:rPr>
            </w:pPr>
            <w:r w:rsidRPr="00EA5C32">
              <w:rPr>
                <w:b/>
                <w:bCs/>
              </w:rPr>
              <w:t>Non-current liabilities</w:t>
            </w:r>
          </w:p>
        </w:tc>
        <w:tc>
          <w:tcPr>
            <w:tcW w:w="1898" w:type="dxa"/>
            <w:shd w:val="clear" w:color="auto" w:fill="D9D9D9" w:themeFill="background1" w:themeFillShade="D9"/>
            <w:vAlign w:val="center"/>
          </w:tcPr>
          <w:p w14:paraId="4252D78E" w14:textId="77777777" w:rsidR="00B67DAF" w:rsidRPr="00EA5C32" w:rsidRDefault="00B67DAF" w:rsidP="00B67DAF">
            <w:pPr>
              <w:pStyle w:val="TableText"/>
              <w:jc w:val="right"/>
              <w:rPr>
                <w:b/>
                <w:bCs/>
              </w:rPr>
            </w:pPr>
          </w:p>
        </w:tc>
        <w:tc>
          <w:tcPr>
            <w:tcW w:w="1899" w:type="dxa"/>
            <w:vAlign w:val="center"/>
          </w:tcPr>
          <w:p w14:paraId="7F2437B3" w14:textId="77777777" w:rsidR="00B67DAF" w:rsidRPr="00EA5C32" w:rsidRDefault="00B67DAF" w:rsidP="00B67DAF">
            <w:pPr>
              <w:pStyle w:val="TableText"/>
              <w:jc w:val="right"/>
              <w:rPr>
                <w:b/>
                <w:bCs/>
              </w:rPr>
            </w:pPr>
          </w:p>
        </w:tc>
      </w:tr>
      <w:tr w:rsidR="00B67DAF" w:rsidRPr="00EA5C32" w14:paraId="1F858AC1" w14:textId="77777777" w:rsidTr="00EA5C32">
        <w:trPr>
          <w:cantSplit/>
        </w:trPr>
        <w:tc>
          <w:tcPr>
            <w:tcW w:w="6521" w:type="dxa"/>
            <w:tcBorders>
              <w:bottom w:val="nil"/>
            </w:tcBorders>
          </w:tcPr>
          <w:p w14:paraId="7CE3686A" w14:textId="77777777" w:rsidR="00B67DAF" w:rsidRPr="00EA5C32" w:rsidRDefault="00B67DAF" w:rsidP="00B67DAF">
            <w:pPr>
              <w:pStyle w:val="TableText"/>
              <w:ind w:left="0"/>
            </w:pPr>
            <w:r w:rsidRPr="00EA5C32">
              <w:t>Lease liabilities</w:t>
            </w:r>
          </w:p>
        </w:tc>
        <w:tc>
          <w:tcPr>
            <w:tcW w:w="1898" w:type="dxa"/>
            <w:tcBorders>
              <w:bottom w:val="nil"/>
            </w:tcBorders>
            <w:shd w:val="clear" w:color="auto" w:fill="D9D9D9" w:themeFill="background1" w:themeFillShade="D9"/>
            <w:vAlign w:val="center"/>
          </w:tcPr>
          <w:p w14:paraId="3B29B4D3" w14:textId="77777777" w:rsidR="00B67DAF" w:rsidRPr="00EA5C32" w:rsidRDefault="00B67DAF" w:rsidP="00B67DAF">
            <w:pPr>
              <w:pStyle w:val="TableText"/>
              <w:jc w:val="right"/>
            </w:pPr>
            <w:r w:rsidRPr="00EA5C32">
              <w:t xml:space="preserve"> 255 </w:t>
            </w:r>
          </w:p>
        </w:tc>
        <w:tc>
          <w:tcPr>
            <w:tcW w:w="1899" w:type="dxa"/>
            <w:tcBorders>
              <w:bottom w:val="nil"/>
            </w:tcBorders>
            <w:vAlign w:val="center"/>
          </w:tcPr>
          <w:p w14:paraId="4A0AE87B" w14:textId="77777777" w:rsidR="00B67DAF" w:rsidRPr="00EA5C32" w:rsidRDefault="00B67DAF" w:rsidP="00B67DAF">
            <w:pPr>
              <w:pStyle w:val="TableText"/>
              <w:jc w:val="right"/>
            </w:pPr>
            <w:r w:rsidRPr="00EA5C32">
              <w:t>551</w:t>
            </w:r>
          </w:p>
        </w:tc>
      </w:tr>
      <w:tr w:rsidR="00B67DAF" w:rsidRPr="00EA5C32" w14:paraId="7EE46EC1" w14:textId="77777777" w:rsidTr="00EA5C32">
        <w:trPr>
          <w:cantSplit/>
        </w:trPr>
        <w:tc>
          <w:tcPr>
            <w:tcW w:w="6521" w:type="dxa"/>
            <w:tcBorders>
              <w:bottom w:val="single" w:sz="4" w:space="0" w:color="auto"/>
            </w:tcBorders>
          </w:tcPr>
          <w:p w14:paraId="6128E04F" w14:textId="77777777" w:rsidR="00B67DAF" w:rsidRPr="00EA5C32" w:rsidRDefault="00B67DAF" w:rsidP="00B67DAF">
            <w:pPr>
              <w:pStyle w:val="TableText"/>
              <w:ind w:left="0"/>
            </w:pPr>
            <w:r w:rsidRPr="00EA5C32">
              <w:t>Provisions</w:t>
            </w:r>
          </w:p>
        </w:tc>
        <w:tc>
          <w:tcPr>
            <w:tcW w:w="1898" w:type="dxa"/>
            <w:tcBorders>
              <w:bottom w:val="single" w:sz="4" w:space="0" w:color="auto"/>
            </w:tcBorders>
            <w:shd w:val="clear" w:color="auto" w:fill="D9D9D9" w:themeFill="background1" w:themeFillShade="D9"/>
            <w:vAlign w:val="center"/>
          </w:tcPr>
          <w:p w14:paraId="78321A80" w14:textId="77777777" w:rsidR="00B67DAF" w:rsidRPr="00EA5C32" w:rsidRDefault="00B67DAF" w:rsidP="00B67DAF">
            <w:pPr>
              <w:pStyle w:val="TableText"/>
              <w:jc w:val="right"/>
            </w:pPr>
            <w:r w:rsidRPr="00EA5C32">
              <w:t xml:space="preserve"> 446 </w:t>
            </w:r>
          </w:p>
        </w:tc>
        <w:tc>
          <w:tcPr>
            <w:tcW w:w="1899" w:type="dxa"/>
            <w:tcBorders>
              <w:bottom w:val="single" w:sz="4" w:space="0" w:color="auto"/>
            </w:tcBorders>
            <w:vAlign w:val="center"/>
          </w:tcPr>
          <w:p w14:paraId="352F9E9B" w14:textId="77777777" w:rsidR="00B67DAF" w:rsidRPr="00EA5C32" w:rsidRDefault="00B67DAF" w:rsidP="00B67DAF">
            <w:pPr>
              <w:pStyle w:val="TableText"/>
              <w:jc w:val="right"/>
            </w:pPr>
            <w:r w:rsidRPr="00EA5C32">
              <w:t>464</w:t>
            </w:r>
          </w:p>
        </w:tc>
      </w:tr>
      <w:tr w:rsidR="00B67DAF" w:rsidRPr="00EA5C32" w14:paraId="7ACE4569" w14:textId="77777777" w:rsidTr="00EA5C32">
        <w:trPr>
          <w:cantSplit/>
        </w:trPr>
        <w:tc>
          <w:tcPr>
            <w:tcW w:w="6521" w:type="dxa"/>
            <w:tcBorders>
              <w:top w:val="single" w:sz="4" w:space="0" w:color="auto"/>
              <w:bottom w:val="single" w:sz="4" w:space="0" w:color="auto"/>
            </w:tcBorders>
          </w:tcPr>
          <w:p w14:paraId="1C79E923" w14:textId="77777777" w:rsidR="00B67DAF" w:rsidRPr="00EA5C32" w:rsidRDefault="00B67DAF" w:rsidP="00B67DAF">
            <w:pPr>
              <w:pStyle w:val="TableText"/>
              <w:ind w:left="0"/>
              <w:rPr>
                <w:b/>
                <w:bCs/>
              </w:rPr>
            </w:pPr>
            <w:r w:rsidRPr="00EA5C32">
              <w:rPr>
                <w:b/>
                <w:bCs/>
              </w:rPr>
              <w:t>Total non-current liabilities</w:t>
            </w:r>
          </w:p>
        </w:tc>
        <w:tc>
          <w:tcPr>
            <w:tcW w:w="1898" w:type="dxa"/>
            <w:tcBorders>
              <w:top w:val="single" w:sz="4" w:space="0" w:color="auto"/>
              <w:bottom w:val="single" w:sz="4" w:space="0" w:color="auto"/>
            </w:tcBorders>
            <w:shd w:val="clear" w:color="auto" w:fill="D9D9D9" w:themeFill="background1" w:themeFillShade="D9"/>
            <w:vAlign w:val="center"/>
          </w:tcPr>
          <w:p w14:paraId="0BF1A37B" w14:textId="77777777" w:rsidR="00B67DAF" w:rsidRPr="00EA5C32" w:rsidRDefault="00B67DAF" w:rsidP="00B67DAF">
            <w:pPr>
              <w:pStyle w:val="TableText"/>
              <w:jc w:val="right"/>
              <w:rPr>
                <w:b/>
                <w:bCs/>
              </w:rPr>
            </w:pPr>
            <w:r w:rsidRPr="00EA5C32">
              <w:rPr>
                <w:b/>
                <w:bCs/>
              </w:rPr>
              <w:t xml:space="preserve"> 701 </w:t>
            </w:r>
          </w:p>
        </w:tc>
        <w:tc>
          <w:tcPr>
            <w:tcW w:w="1899" w:type="dxa"/>
            <w:tcBorders>
              <w:top w:val="single" w:sz="4" w:space="0" w:color="auto"/>
              <w:bottom w:val="single" w:sz="4" w:space="0" w:color="auto"/>
            </w:tcBorders>
            <w:vAlign w:val="center"/>
          </w:tcPr>
          <w:p w14:paraId="50196F43" w14:textId="77777777" w:rsidR="00B67DAF" w:rsidRPr="00EA5C32" w:rsidRDefault="00B67DAF" w:rsidP="00B67DAF">
            <w:pPr>
              <w:pStyle w:val="TableText"/>
              <w:jc w:val="right"/>
              <w:rPr>
                <w:b/>
                <w:bCs/>
              </w:rPr>
            </w:pPr>
            <w:r w:rsidRPr="00EA5C32">
              <w:rPr>
                <w:b/>
                <w:bCs/>
              </w:rPr>
              <w:t>1,015</w:t>
            </w:r>
          </w:p>
        </w:tc>
      </w:tr>
      <w:tr w:rsidR="00B67DAF" w:rsidRPr="00EA5C32" w14:paraId="1302B55D" w14:textId="77777777" w:rsidTr="00EA5C32">
        <w:trPr>
          <w:cantSplit/>
        </w:trPr>
        <w:tc>
          <w:tcPr>
            <w:tcW w:w="6521" w:type="dxa"/>
            <w:tcBorders>
              <w:top w:val="single" w:sz="4" w:space="0" w:color="auto"/>
              <w:bottom w:val="single" w:sz="4" w:space="0" w:color="auto"/>
            </w:tcBorders>
          </w:tcPr>
          <w:p w14:paraId="5649D8CF" w14:textId="77777777" w:rsidR="00B67DAF" w:rsidRPr="00EA5C32" w:rsidRDefault="00B67DAF" w:rsidP="00B67DAF">
            <w:pPr>
              <w:pStyle w:val="TableText"/>
              <w:ind w:left="0"/>
              <w:rPr>
                <w:b/>
                <w:bCs/>
              </w:rPr>
            </w:pPr>
            <w:r w:rsidRPr="00EA5C32">
              <w:rPr>
                <w:b/>
                <w:bCs/>
              </w:rPr>
              <w:t>Total liabilities</w:t>
            </w:r>
          </w:p>
        </w:tc>
        <w:tc>
          <w:tcPr>
            <w:tcW w:w="1898" w:type="dxa"/>
            <w:tcBorders>
              <w:top w:val="single" w:sz="4" w:space="0" w:color="auto"/>
              <w:bottom w:val="single" w:sz="4" w:space="0" w:color="auto"/>
            </w:tcBorders>
            <w:shd w:val="clear" w:color="auto" w:fill="D9D9D9" w:themeFill="background1" w:themeFillShade="D9"/>
            <w:vAlign w:val="center"/>
          </w:tcPr>
          <w:p w14:paraId="6A0F6D37" w14:textId="77777777" w:rsidR="00B67DAF" w:rsidRPr="00EA5C32" w:rsidRDefault="00B67DAF" w:rsidP="00B67DAF">
            <w:pPr>
              <w:pStyle w:val="TableText"/>
              <w:jc w:val="right"/>
              <w:rPr>
                <w:b/>
                <w:bCs/>
              </w:rPr>
            </w:pPr>
            <w:r w:rsidRPr="00EA5C32">
              <w:rPr>
                <w:b/>
                <w:bCs/>
              </w:rPr>
              <w:t>32,360</w:t>
            </w:r>
          </w:p>
        </w:tc>
        <w:tc>
          <w:tcPr>
            <w:tcW w:w="1899" w:type="dxa"/>
            <w:tcBorders>
              <w:top w:val="single" w:sz="4" w:space="0" w:color="auto"/>
              <w:bottom w:val="single" w:sz="4" w:space="0" w:color="auto"/>
            </w:tcBorders>
            <w:vAlign w:val="center"/>
          </w:tcPr>
          <w:p w14:paraId="6CDDC606" w14:textId="77777777" w:rsidR="00B67DAF" w:rsidRPr="00EA5C32" w:rsidRDefault="00B67DAF" w:rsidP="00B67DAF">
            <w:pPr>
              <w:pStyle w:val="TableText"/>
              <w:jc w:val="right"/>
              <w:rPr>
                <w:b/>
                <w:bCs/>
              </w:rPr>
            </w:pPr>
            <w:r w:rsidRPr="00EA5C32">
              <w:rPr>
                <w:b/>
                <w:bCs/>
              </w:rPr>
              <w:t>36,279</w:t>
            </w:r>
          </w:p>
        </w:tc>
      </w:tr>
      <w:tr w:rsidR="00B67DAF" w:rsidRPr="00EA5C32" w14:paraId="01872626" w14:textId="77777777" w:rsidTr="00EA5C32">
        <w:trPr>
          <w:cantSplit/>
        </w:trPr>
        <w:tc>
          <w:tcPr>
            <w:tcW w:w="6521" w:type="dxa"/>
            <w:tcBorders>
              <w:top w:val="single" w:sz="4" w:space="0" w:color="auto"/>
              <w:bottom w:val="single" w:sz="4" w:space="0" w:color="auto"/>
            </w:tcBorders>
          </w:tcPr>
          <w:p w14:paraId="69F47AE3" w14:textId="77777777" w:rsidR="00B67DAF" w:rsidRPr="00EA5C32" w:rsidRDefault="00B67DAF" w:rsidP="00B67DAF">
            <w:pPr>
              <w:pStyle w:val="TableText"/>
              <w:ind w:left="0"/>
            </w:pPr>
          </w:p>
        </w:tc>
        <w:tc>
          <w:tcPr>
            <w:tcW w:w="1898" w:type="dxa"/>
            <w:tcBorders>
              <w:top w:val="single" w:sz="4" w:space="0" w:color="auto"/>
              <w:bottom w:val="single" w:sz="4" w:space="0" w:color="auto"/>
            </w:tcBorders>
            <w:shd w:val="clear" w:color="auto" w:fill="D9D9D9" w:themeFill="background1" w:themeFillShade="D9"/>
            <w:vAlign w:val="center"/>
          </w:tcPr>
          <w:p w14:paraId="631B48F4" w14:textId="77777777" w:rsidR="00B67DAF" w:rsidRPr="00EA5C32" w:rsidRDefault="00B67DAF" w:rsidP="00B67DAF">
            <w:pPr>
              <w:pStyle w:val="TableText"/>
              <w:jc w:val="right"/>
            </w:pPr>
          </w:p>
        </w:tc>
        <w:tc>
          <w:tcPr>
            <w:tcW w:w="1899" w:type="dxa"/>
            <w:tcBorders>
              <w:top w:val="single" w:sz="4" w:space="0" w:color="auto"/>
              <w:bottom w:val="single" w:sz="4" w:space="0" w:color="auto"/>
            </w:tcBorders>
            <w:vAlign w:val="center"/>
          </w:tcPr>
          <w:p w14:paraId="28CAA776" w14:textId="77777777" w:rsidR="00B67DAF" w:rsidRPr="00EA5C32" w:rsidRDefault="00B67DAF" w:rsidP="00B67DAF">
            <w:pPr>
              <w:pStyle w:val="TableText"/>
              <w:jc w:val="right"/>
            </w:pPr>
          </w:p>
        </w:tc>
      </w:tr>
      <w:tr w:rsidR="00B67DAF" w:rsidRPr="00EA5C32" w14:paraId="60A2DEE4" w14:textId="77777777" w:rsidTr="00EA5C32">
        <w:trPr>
          <w:cantSplit/>
        </w:trPr>
        <w:tc>
          <w:tcPr>
            <w:tcW w:w="6521" w:type="dxa"/>
            <w:tcBorders>
              <w:top w:val="single" w:sz="4" w:space="0" w:color="auto"/>
              <w:bottom w:val="single" w:sz="4" w:space="0" w:color="auto"/>
            </w:tcBorders>
          </w:tcPr>
          <w:p w14:paraId="38CF2FD6" w14:textId="77777777" w:rsidR="00B67DAF" w:rsidRPr="00EA5C32" w:rsidRDefault="00B67DAF" w:rsidP="00B67DAF">
            <w:pPr>
              <w:pStyle w:val="TableText"/>
              <w:ind w:left="0"/>
              <w:rPr>
                <w:b/>
                <w:bCs/>
              </w:rPr>
            </w:pPr>
            <w:r w:rsidRPr="00EA5C32">
              <w:rPr>
                <w:b/>
                <w:bCs/>
              </w:rPr>
              <w:t>Net assets</w:t>
            </w:r>
          </w:p>
        </w:tc>
        <w:tc>
          <w:tcPr>
            <w:tcW w:w="1898" w:type="dxa"/>
            <w:tcBorders>
              <w:top w:val="single" w:sz="4" w:space="0" w:color="auto"/>
              <w:bottom w:val="single" w:sz="4" w:space="0" w:color="auto"/>
            </w:tcBorders>
            <w:shd w:val="clear" w:color="auto" w:fill="D9D9D9" w:themeFill="background1" w:themeFillShade="D9"/>
            <w:vAlign w:val="center"/>
          </w:tcPr>
          <w:p w14:paraId="7F6AE8C6" w14:textId="77777777" w:rsidR="00B67DAF" w:rsidRPr="00EA5C32" w:rsidRDefault="00B67DAF" w:rsidP="00B67DAF">
            <w:pPr>
              <w:pStyle w:val="TableText"/>
              <w:jc w:val="right"/>
              <w:rPr>
                <w:b/>
                <w:bCs/>
              </w:rPr>
            </w:pPr>
            <w:r w:rsidRPr="00EA5C32">
              <w:rPr>
                <w:b/>
                <w:bCs/>
              </w:rPr>
              <w:t>25,681</w:t>
            </w:r>
          </w:p>
        </w:tc>
        <w:tc>
          <w:tcPr>
            <w:tcW w:w="1899" w:type="dxa"/>
            <w:tcBorders>
              <w:top w:val="single" w:sz="4" w:space="0" w:color="auto"/>
              <w:bottom w:val="single" w:sz="4" w:space="0" w:color="auto"/>
            </w:tcBorders>
            <w:vAlign w:val="center"/>
          </w:tcPr>
          <w:p w14:paraId="4370FCE6" w14:textId="77777777" w:rsidR="00B67DAF" w:rsidRPr="00EA5C32" w:rsidRDefault="00B67DAF" w:rsidP="00B67DAF">
            <w:pPr>
              <w:pStyle w:val="TableText"/>
              <w:jc w:val="right"/>
              <w:rPr>
                <w:b/>
                <w:bCs/>
              </w:rPr>
            </w:pPr>
            <w:r w:rsidRPr="00EA5C32">
              <w:rPr>
                <w:b/>
                <w:bCs/>
              </w:rPr>
              <w:t>23,806</w:t>
            </w:r>
          </w:p>
        </w:tc>
      </w:tr>
      <w:tr w:rsidR="00B67DAF" w:rsidRPr="00EA5C32" w14:paraId="680F8488" w14:textId="77777777" w:rsidTr="00EA5C32">
        <w:trPr>
          <w:cantSplit/>
        </w:trPr>
        <w:tc>
          <w:tcPr>
            <w:tcW w:w="6521" w:type="dxa"/>
            <w:tcBorders>
              <w:top w:val="single" w:sz="4" w:space="0" w:color="auto"/>
            </w:tcBorders>
          </w:tcPr>
          <w:p w14:paraId="634DBAC6" w14:textId="77777777" w:rsidR="00B67DAF" w:rsidRPr="00EA5C32" w:rsidRDefault="00B67DAF" w:rsidP="00B67DAF">
            <w:pPr>
              <w:pStyle w:val="TableText"/>
              <w:ind w:left="0"/>
            </w:pPr>
          </w:p>
        </w:tc>
        <w:tc>
          <w:tcPr>
            <w:tcW w:w="1898" w:type="dxa"/>
            <w:tcBorders>
              <w:top w:val="single" w:sz="4" w:space="0" w:color="auto"/>
            </w:tcBorders>
            <w:shd w:val="clear" w:color="auto" w:fill="D9D9D9" w:themeFill="background1" w:themeFillShade="D9"/>
            <w:vAlign w:val="center"/>
          </w:tcPr>
          <w:p w14:paraId="380337FD" w14:textId="77777777" w:rsidR="00B67DAF" w:rsidRPr="00EA5C32" w:rsidRDefault="00B67DAF" w:rsidP="00B67DAF">
            <w:pPr>
              <w:pStyle w:val="TableText"/>
              <w:jc w:val="right"/>
            </w:pPr>
          </w:p>
        </w:tc>
        <w:tc>
          <w:tcPr>
            <w:tcW w:w="1899" w:type="dxa"/>
            <w:tcBorders>
              <w:top w:val="single" w:sz="4" w:space="0" w:color="auto"/>
            </w:tcBorders>
            <w:vAlign w:val="center"/>
          </w:tcPr>
          <w:p w14:paraId="6E87BAA0" w14:textId="77777777" w:rsidR="00B67DAF" w:rsidRPr="00EA5C32" w:rsidRDefault="00B67DAF" w:rsidP="00B67DAF">
            <w:pPr>
              <w:pStyle w:val="TableText"/>
              <w:jc w:val="right"/>
            </w:pPr>
          </w:p>
        </w:tc>
      </w:tr>
      <w:tr w:rsidR="00B67DAF" w:rsidRPr="00EA5C32" w14:paraId="3CF07D1B" w14:textId="77777777" w:rsidTr="00EA5C32">
        <w:trPr>
          <w:cantSplit/>
        </w:trPr>
        <w:tc>
          <w:tcPr>
            <w:tcW w:w="6521" w:type="dxa"/>
          </w:tcPr>
          <w:p w14:paraId="365C51B7" w14:textId="77777777" w:rsidR="00B67DAF" w:rsidRPr="00EA5C32" w:rsidRDefault="00B67DAF" w:rsidP="00B67DAF">
            <w:pPr>
              <w:pStyle w:val="TableText"/>
              <w:ind w:left="0"/>
              <w:rPr>
                <w:b/>
                <w:bCs/>
              </w:rPr>
            </w:pPr>
            <w:r w:rsidRPr="00EA5C32">
              <w:rPr>
                <w:b/>
                <w:bCs/>
              </w:rPr>
              <w:t>Equity</w:t>
            </w:r>
          </w:p>
        </w:tc>
        <w:tc>
          <w:tcPr>
            <w:tcW w:w="1898" w:type="dxa"/>
            <w:shd w:val="clear" w:color="auto" w:fill="D9D9D9" w:themeFill="background1" w:themeFillShade="D9"/>
            <w:vAlign w:val="center"/>
          </w:tcPr>
          <w:p w14:paraId="0EB79A12" w14:textId="77777777" w:rsidR="00B67DAF" w:rsidRPr="00EA5C32" w:rsidRDefault="00B67DAF" w:rsidP="00B67DAF">
            <w:pPr>
              <w:pStyle w:val="TableText"/>
              <w:jc w:val="right"/>
              <w:rPr>
                <w:b/>
                <w:bCs/>
              </w:rPr>
            </w:pPr>
          </w:p>
        </w:tc>
        <w:tc>
          <w:tcPr>
            <w:tcW w:w="1899" w:type="dxa"/>
            <w:vAlign w:val="center"/>
          </w:tcPr>
          <w:p w14:paraId="349E6E0B" w14:textId="77777777" w:rsidR="00B67DAF" w:rsidRPr="00EA5C32" w:rsidRDefault="00B67DAF" w:rsidP="00B67DAF">
            <w:pPr>
              <w:pStyle w:val="TableText"/>
              <w:jc w:val="right"/>
              <w:rPr>
                <w:b/>
                <w:bCs/>
              </w:rPr>
            </w:pPr>
          </w:p>
        </w:tc>
      </w:tr>
      <w:tr w:rsidR="00B67DAF" w:rsidRPr="00EA5C32" w14:paraId="58C4F6F1" w14:textId="77777777" w:rsidTr="00EA5C32">
        <w:trPr>
          <w:cantSplit/>
        </w:trPr>
        <w:tc>
          <w:tcPr>
            <w:tcW w:w="6521" w:type="dxa"/>
          </w:tcPr>
          <w:p w14:paraId="70FC37DE" w14:textId="77777777" w:rsidR="00B67DAF" w:rsidRPr="00EA5C32" w:rsidRDefault="00B67DAF" w:rsidP="00B67DAF">
            <w:pPr>
              <w:pStyle w:val="TableText"/>
              <w:ind w:left="0"/>
            </w:pPr>
            <w:r w:rsidRPr="00EA5C32">
              <w:t>Retained earnings</w:t>
            </w:r>
          </w:p>
        </w:tc>
        <w:tc>
          <w:tcPr>
            <w:tcW w:w="1898" w:type="dxa"/>
            <w:shd w:val="clear" w:color="auto" w:fill="D9D9D9" w:themeFill="background1" w:themeFillShade="D9"/>
            <w:vAlign w:val="center"/>
          </w:tcPr>
          <w:p w14:paraId="16F82F4B" w14:textId="77777777" w:rsidR="00B67DAF" w:rsidRPr="00EA5C32" w:rsidRDefault="00B67DAF" w:rsidP="00B67DAF">
            <w:pPr>
              <w:pStyle w:val="TableText"/>
              <w:jc w:val="right"/>
            </w:pPr>
            <w:r w:rsidRPr="00EA5C32">
              <w:t xml:space="preserve"> 23,889 </w:t>
            </w:r>
          </w:p>
        </w:tc>
        <w:tc>
          <w:tcPr>
            <w:tcW w:w="1899" w:type="dxa"/>
            <w:vAlign w:val="center"/>
          </w:tcPr>
          <w:p w14:paraId="4A3B1C99" w14:textId="77777777" w:rsidR="00B67DAF" w:rsidRPr="00EA5C32" w:rsidRDefault="00B67DAF" w:rsidP="00B67DAF">
            <w:pPr>
              <w:pStyle w:val="TableText"/>
              <w:jc w:val="right"/>
            </w:pPr>
            <w:r w:rsidRPr="00EA5C32">
              <w:t>22,044</w:t>
            </w:r>
          </w:p>
        </w:tc>
      </w:tr>
      <w:tr w:rsidR="00B67DAF" w:rsidRPr="00EA5C32" w14:paraId="52170836" w14:textId="77777777" w:rsidTr="00EA5C32">
        <w:trPr>
          <w:cantSplit/>
        </w:trPr>
        <w:tc>
          <w:tcPr>
            <w:tcW w:w="6521" w:type="dxa"/>
            <w:tcBorders>
              <w:bottom w:val="single" w:sz="4" w:space="0" w:color="auto"/>
            </w:tcBorders>
          </w:tcPr>
          <w:p w14:paraId="174261D5" w14:textId="77777777" w:rsidR="00B67DAF" w:rsidRPr="00EA5C32" w:rsidRDefault="00B67DAF" w:rsidP="00B67DAF">
            <w:pPr>
              <w:pStyle w:val="TableText"/>
              <w:ind w:left="0"/>
            </w:pPr>
            <w:r w:rsidRPr="00EA5C32">
              <w:t>Reserves</w:t>
            </w:r>
          </w:p>
        </w:tc>
        <w:tc>
          <w:tcPr>
            <w:tcW w:w="1898" w:type="dxa"/>
            <w:tcBorders>
              <w:bottom w:val="single" w:sz="4" w:space="0" w:color="auto"/>
            </w:tcBorders>
            <w:shd w:val="clear" w:color="auto" w:fill="D9D9D9" w:themeFill="background1" w:themeFillShade="D9"/>
            <w:vAlign w:val="center"/>
          </w:tcPr>
          <w:p w14:paraId="68AFD988" w14:textId="77777777" w:rsidR="00B67DAF" w:rsidRPr="00EA5C32" w:rsidRDefault="00B67DAF" w:rsidP="00B67DAF">
            <w:pPr>
              <w:pStyle w:val="TableText"/>
              <w:jc w:val="right"/>
            </w:pPr>
            <w:r w:rsidRPr="00EA5C32">
              <w:t xml:space="preserve"> 1,791 </w:t>
            </w:r>
          </w:p>
        </w:tc>
        <w:tc>
          <w:tcPr>
            <w:tcW w:w="1899" w:type="dxa"/>
            <w:tcBorders>
              <w:bottom w:val="single" w:sz="4" w:space="0" w:color="auto"/>
            </w:tcBorders>
            <w:vAlign w:val="center"/>
          </w:tcPr>
          <w:p w14:paraId="3D39163D" w14:textId="77777777" w:rsidR="00B67DAF" w:rsidRPr="00EA5C32" w:rsidRDefault="00B67DAF" w:rsidP="00B67DAF">
            <w:pPr>
              <w:pStyle w:val="TableText"/>
              <w:jc w:val="right"/>
            </w:pPr>
            <w:r w:rsidRPr="00EA5C32">
              <w:t>1,762</w:t>
            </w:r>
          </w:p>
        </w:tc>
      </w:tr>
      <w:tr w:rsidR="00B67DAF" w:rsidRPr="00EA5C32" w14:paraId="1CE52BEC" w14:textId="77777777" w:rsidTr="00EA5C32">
        <w:trPr>
          <w:cantSplit/>
        </w:trPr>
        <w:tc>
          <w:tcPr>
            <w:tcW w:w="6521" w:type="dxa"/>
            <w:tcBorders>
              <w:top w:val="single" w:sz="4" w:space="0" w:color="auto"/>
              <w:bottom w:val="single" w:sz="18" w:space="0" w:color="auto"/>
            </w:tcBorders>
          </w:tcPr>
          <w:p w14:paraId="58A2E897" w14:textId="77777777" w:rsidR="00B67DAF" w:rsidRPr="00EA5C32" w:rsidRDefault="00B67DAF" w:rsidP="00B67DAF">
            <w:pPr>
              <w:pStyle w:val="TableText"/>
              <w:spacing w:before="120" w:after="120"/>
              <w:ind w:left="0"/>
              <w:rPr>
                <w:b/>
                <w:bCs/>
              </w:rPr>
            </w:pPr>
            <w:r w:rsidRPr="00EA5C32">
              <w:rPr>
                <w:b/>
                <w:bCs/>
              </w:rPr>
              <w:t>TOTAL EQUITY</w:t>
            </w:r>
          </w:p>
        </w:tc>
        <w:tc>
          <w:tcPr>
            <w:tcW w:w="1898" w:type="dxa"/>
            <w:tcBorders>
              <w:top w:val="single" w:sz="4" w:space="0" w:color="auto"/>
              <w:bottom w:val="single" w:sz="18" w:space="0" w:color="auto"/>
            </w:tcBorders>
            <w:shd w:val="clear" w:color="auto" w:fill="D9D9D9" w:themeFill="background1" w:themeFillShade="D9"/>
            <w:vAlign w:val="center"/>
          </w:tcPr>
          <w:p w14:paraId="7CC1D50C" w14:textId="77777777" w:rsidR="00B67DAF" w:rsidRPr="00EA5C32" w:rsidRDefault="00B67DAF" w:rsidP="00B67DAF">
            <w:pPr>
              <w:pStyle w:val="TableText"/>
              <w:spacing w:before="120" w:after="120"/>
              <w:jc w:val="right"/>
              <w:rPr>
                <w:b/>
                <w:bCs/>
              </w:rPr>
            </w:pPr>
            <w:r w:rsidRPr="00EA5C32">
              <w:rPr>
                <w:b/>
                <w:bCs/>
              </w:rPr>
              <w:t>25,681</w:t>
            </w:r>
          </w:p>
        </w:tc>
        <w:tc>
          <w:tcPr>
            <w:tcW w:w="1899" w:type="dxa"/>
            <w:tcBorders>
              <w:top w:val="single" w:sz="4" w:space="0" w:color="auto"/>
              <w:bottom w:val="single" w:sz="18" w:space="0" w:color="auto"/>
            </w:tcBorders>
            <w:vAlign w:val="center"/>
          </w:tcPr>
          <w:p w14:paraId="331738A7" w14:textId="77777777" w:rsidR="00B67DAF" w:rsidRPr="00EA5C32" w:rsidRDefault="00B67DAF" w:rsidP="00B67DAF">
            <w:pPr>
              <w:pStyle w:val="TableText"/>
              <w:spacing w:before="120" w:after="120"/>
              <w:jc w:val="right"/>
              <w:rPr>
                <w:b/>
                <w:bCs/>
              </w:rPr>
            </w:pPr>
            <w:r w:rsidRPr="00EA5C32">
              <w:rPr>
                <w:b/>
                <w:bCs/>
              </w:rPr>
              <w:t>23,806</w:t>
            </w:r>
          </w:p>
        </w:tc>
      </w:tr>
    </w:tbl>
    <w:p w14:paraId="787F52A0" w14:textId="1A540158" w:rsidR="00A0389E" w:rsidRDefault="00A0389E" w:rsidP="00A0389E">
      <w:pPr>
        <w:pStyle w:val="BodyText"/>
      </w:pPr>
    </w:p>
    <w:p w14:paraId="11C4E5CD" w14:textId="3D07A9C6" w:rsidR="00EA5C32" w:rsidRDefault="00EA5C32" w:rsidP="00EA5C32">
      <w:pPr>
        <w:pStyle w:val="Heading5"/>
      </w:pPr>
      <w:r w:rsidRPr="002166F4">
        <w:drawing>
          <wp:inline distT="0" distB="0" distL="0" distR="0" wp14:anchorId="6A08F435" wp14:editId="748D88F1">
            <wp:extent cx="158750" cy="158750"/>
            <wp:effectExtent l="0" t="0" r="0" b="0"/>
            <wp:docPr id="205" name="Picture 2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Picture 231">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59069" cy="159069"/>
                    </a:xfrm>
                    <a:prstGeom prst="rect">
                      <a:avLst/>
                    </a:prstGeom>
                  </pic:spPr>
                </pic:pic>
              </a:graphicData>
            </a:graphic>
          </wp:inline>
        </w:drawing>
      </w:r>
      <w:r w:rsidRPr="002166F4">
        <w:br/>
      </w:r>
      <w:r>
        <w:t>The Good Life Project</w:t>
      </w:r>
    </w:p>
    <w:p w14:paraId="45EEC5E5" w14:textId="3BB23312" w:rsidR="00EA5C32" w:rsidRPr="00EA5C32" w:rsidRDefault="00EA5C32" w:rsidP="00EA5C32">
      <w:pPr>
        <w:pStyle w:val="BodyText"/>
        <w:rPr>
          <w:b/>
          <w:bCs/>
        </w:rPr>
      </w:pPr>
      <w:r w:rsidRPr="00EA5C32">
        <w:rPr>
          <w:b/>
          <w:bCs/>
        </w:rPr>
        <w:t xml:space="preserve">At </w:t>
      </w:r>
      <w:proofErr w:type="spellStart"/>
      <w:r w:rsidRPr="00EA5C32">
        <w:rPr>
          <w:b/>
          <w:bCs/>
        </w:rPr>
        <w:t>Avivo</w:t>
      </w:r>
      <w:proofErr w:type="spellEnd"/>
      <w:r w:rsidRPr="00EA5C32">
        <w:rPr>
          <w:b/>
          <w:bCs/>
        </w:rPr>
        <w:t xml:space="preserve">, we believe that Citizenship matters to all of us. But the term Citizenship can be hard to fully understand. So, in partnership with Befriend and an internal team of willing </w:t>
      </w:r>
      <w:proofErr w:type="spellStart"/>
      <w:r w:rsidRPr="00EA5C32">
        <w:rPr>
          <w:b/>
          <w:bCs/>
        </w:rPr>
        <w:t>Avivo</w:t>
      </w:r>
      <w:proofErr w:type="spellEnd"/>
      <w:r w:rsidRPr="00EA5C32">
        <w:rPr>
          <w:b/>
          <w:bCs/>
        </w:rPr>
        <w:t xml:space="preserve"> ‘researchers’, we developed the Good Life Project. </w:t>
      </w:r>
    </w:p>
    <w:p w14:paraId="1B29F7E5" w14:textId="69F9D71E" w:rsidR="00EA5C32" w:rsidRDefault="00EA5C32" w:rsidP="00EA5C32">
      <w:pPr>
        <w:pStyle w:val="BodyText"/>
      </w:pPr>
      <w:r>
        <w:t>Over the last year the project team focused on making ‘Citizenship’ more relatable and accessible to our colleagues and customers. The team worked on gaining a deeper understanding of Citizenship and its potential in the world and looked at ‘things that might get in</w:t>
      </w:r>
      <w:r>
        <w:t> </w:t>
      </w:r>
      <w:r>
        <w:t>the way’</w:t>
      </w:r>
      <w:r>
        <w:t xml:space="preserve"> </w:t>
      </w:r>
      <w:r>
        <w:t>and ‘things that help us out’.</w:t>
      </w:r>
    </w:p>
    <w:p w14:paraId="51115CF1" w14:textId="30BE95D5" w:rsidR="001E0D98" w:rsidRPr="008476B0" w:rsidRDefault="001E0D98" w:rsidP="00A0389E">
      <w:pPr>
        <w:pStyle w:val="BodyText"/>
      </w:pPr>
    </w:p>
    <w:sectPr w:rsidR="001E0D98" w:rsidRPr="008476B0" w:rsidSect="00B67DAF">
      <w:headerReference w:type="even" r:id="rId14"/>
      <w:headerReference w:type="default" r:id="rId15"/>
      <w:type w:val="continuous"/>
      <w:pgSz w:w="11906" w:h="16838" w:code="9"/>
      <w:pgMar w:top="567" w:right="794" w:bottom="680" w:left="794" w:header="454" w:footer="454" w:gutter="0"/>
      <w:cols w:space="17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4FB98" w14:textId="77777777" w:rsidR="00CC3510" w:rsidRDefault="00CC3510" w:rsidP="00C20C17">
      <w:r>
        <w:separator/>
      </w:r>
    </w:p>
  </w:endnote>
  <w:endnote w:type="continuationSeparator" w:id="0">
    <w:p w14:paraId="3FF98331" w14:textId="77777777" w:rsidR="00CC3510" w:rsidRDefault="00CC3510"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7C075" w14:textId="77777777" w:rsidR="00CC3510" w:rsidRDefault="00CC3510" w:rsidP="00C20C17">
      <w:r>
        <w:separator/>
      </w:r>
    </w:p>
  </w:footnote>
  <w:footnote w:type="continuationSeparator" w:id="0">
    <w:p w14:paraId="2E64CEB6" w14:textId="77777777" w:rsidR="00CC3510" w:rsidRDefault="00CC3510"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3D2E" w14:textId="77777777" w:rsidR="00B67DAF" w:rsidRDefault="00B67DAF" w:rsidP="00B67DAF"/>
  <w:tbl>
    <w:tblPr>
      <w:tblStyle w:val="TableGrid"/>
      <w:tblW w:w="5005" w:type="pct"/>
      <w:tblBorders>
        <w:top w:val="single" w:sz="8" w:space="0" w:color="auto"/>
        <w:bottom w:val="single" w:sz="24" w:space="0" w:color="auto"/>
      </w:tblBorders>
      <w:tblLook w:val="04A0" w:firstRow="1" w:lastRow="0" w:firstColumn="1" w:lastColumn="0" w:noHBand="0" w:noVBand="1"/>
    </w:tblPr>
    <w:tblGrid>
      <w:gridCol w:w="5164"/>
      <w:gridCol w:w="5164"/>
    </w:tblGrid>
    <w:tr w:rsidR="00B67DAF" w:rsidRPr="003F402A" w14:paraId="53C9D8C1" w14:textId="77777777" w:rsidTr="00B67DAF">
      <w:trPr>
        <w:trHeight w:val="340"/>
      </w:trPr>
      <w:tc>
        <w:tcPr>
          <w:tcW w:w="5164" w:type="dxa"/>
          <w:vAlign w:val="center"/>
        </w:tcPr>
        <w:p w14:paraId="0DF066E5" w14:textId="0C548EC0" w:rsidR="00B67DAF" w:rsidRPr="00E77F64" w:rsidRDefault="00B67DAF" w:rsidP="00B67DAF">
          <w:pPr>
            <w:pStyle w:val="Header"/>
            <w:rPr>
              <w:b w:val="0"/>
              <w:bCs/>
            </w:rPr>
          </w:pPr>
          <w:r>
            <w:fldChar w:fldCharType="begin"/>
          </w:r>
          <w:r>
            <w:instrText xml:space="preserve"> PAGE   \* MERGEFORMAT </w:instrText>
          </w:r>
          <w:r>
            <w:fldChar w:fldCharType="separate"/>
          </w:r>
          <w:r>
            <w:t>3</w:t>
          </w:r>
          <w:r>
            <w:fldChar w:fldCharType="end"/>
          </w:r>
        </w:p>
      </w:tc>
      <w:tc>
        <w:tcPr>
          <w:tcW w:w="5164" w:type="dxa"/>
          <w:vAlign w:val="center"/>
        </w:tcPr>
        <w:p w14:paraId="6F3E1148" w14:textId="6893B016" w:rsidR="00B67DAF" w:rsidRPr="00B67DAF" w:rsidRDefault="00B67DAF" w:rsidP="00B67DAF">
          <w:pPr>
            <w:pStyle w:val="Header"/>
            <w:jc w:val="right"/>
          </w:pPr>
          <w:r w:rsidRPr="00B67DAF">
            <w:t>www.avivo.org.au</w:t>
          </w:r>
        </w:p>
      </w:tc>
    </w:tr>
  </w:tbl>
  <w:p w14:paraId="018D4A2B" w14:textId="77777777" w:rsidR="00B67DAF" w:rsidRPr="00B67DAF" w:rsidRDefault="00B67DAF" w:rsidP="00B67DAF">
    <w:pPr>
      <w:pStyle w:val="Header"/>
      <w:spacing w:after="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FD13" w14:textId="77777777" w:rsidR="00B67DAF" w:rsidRDefault="00B67DAF" w:rsidP="00B67DAF"/>
  <w:tbl>
    <w:tblPr>
      <w:tblStyle w:val="TableGrid"/>
      <w:tblW w:w="5000" w:type="pct"/>
      <w:tblBorders>
        <w:top w:val="single" w:sz="8" w:space="0" w:color="auto"/>
        <w:bottom w:val="single" w:sz="24" w:space="0" w:color="auto"/>
      </w:tblBorders>
      <w:tblLook w:val="04A0" w:firstRow="1" w:lastRow="0" w:firstColumn="1" w:lastColumn="0" w:noHBand="0" w:noVBand="1"/>
    </w:tblPr>
    <w:tblGrid>
      <w:gridCol w:w="5164"/>
      <w:gridCol w:w="5154"/>
    </w:tblGrid>
    <w:tr w:rsidR="00326DCF" w:rsidRPr="003F402A" w14:paraId="4F79FB12" w14:textId="77777777" w:rsidTr="00B67DAF">
      <w:trPr>
        <w:trHeight w:val="340"/>
      </w:trPr>
      <w:tc>
        <w:tcPr>
          <w:tcW w:w="5164" w:type="dxa"/>
          <w:vAlign w:val="center"/>
        </w:tcPr>
        <w:p w14:paraId="05BDF4A5" w14:textId="75877C3D" w:rsidR="00326DCF" w:rsidRPr="00E77F64" w:rsidRDefault="00326DCF" w:rsidP="00E77F64">
          <w:pPr>
            <w:pStyle w:val="Header"/>
            <w:rPr>
              <w:b w:val="0"/>
              <w:bCs/>
            </w:rPr>
          </w:pPr>
          <w:proofErr w:type="spellStart"/>
          <w:r w:rsidRPr="00E77F64">
            <w:rPr>
              <w:b w:val="0"/>
              <w:bCs/>
            </w:rPr>
            <w:t>AVIVO</w:t>
          </w:r>
          <w:proofErr w:type="spellEnd"/>
          <w:r w:rsidRPr="00E77F64">
            <w:rPr>
              <w:b w:val="0"/>
              <w:bCs/>
            </w:rPr>
            <w:t xml:space="preserve"> ANNUAL REPORT 2020</w:t>
          </w:r>
        </w:p>
      </w:tc>
      <w:tc>
        <w:tcPr>
          <w:tcW w:w="5154" w:type="dxa"/>
          <w:vAlign w:val="center"/>
        </w:tcPr>
        <w:p w14:paraId="635F061A" w14:textId="5D59B040" w:rsidR="00326DCF" w:rsidRPr="003F402A" w:rsidRDefault="00326DCF" w:rsidP="00E77F64">
          <w:pPr>
            <w:pStyle w:val="Header"/>
            <w:jc w:val="right"/>
          </w:pPr>
          <w:r>
            <w:fldChar w:fldCharType="begin"/>
          </w:r>
          <w:r>
            <w:instrText xml:space="preserve"> PAGE   \* MERGEFORMAT </w:instrText>
          </w:r>
          <w:r>
            <w:fldChar w:fldCharType="separate"/>
          </w:r>
          <w:r>
            <w:t>3</w:t>
          </w:r>
          <w:r>
            <w:fldChar w:fldCharType="end"/>
          </w:r>
        </w:p>
      </w:tc>
    </w:tr>
  </w:tbl>
  <w:p w14:paraId="15A1C366" w14:textId="7EC23F75" w:rsidR="00326DCF" w:rsidRPr="00B67DAF" w:rsidRDefault="00326DCF" w:rsidP="00B67DAF">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194"/>
    <w:multiLevelType w:val="multilevel"/>
    <w:tmpl w:val="D442603C"/>
    <w:numStyleLink w:val="ListTableNumber"/>
  </w:abstractNum>
  <w:abstractNum w:abstractNumId="1" w15:restartNumberingAfterBreak="0">
    <w:nsid w:val="0CF82BAE"/>
    <w:multiLevelType w:val="multilevel"/>
    <w:tmpl w:val="30A6D3F2"/>
    <w:numStyleLink w:val="ListBullet"/>
  </w:abstractNum>
  <w:abstractNum w:abstractNumId="2" w15:restartNumberingAfterBreak="0">
    <w:nsid w:val="0DD726A9"/>
    <w:multiLevelType w:val="multilevel"/>
    <w:tmpl w:val="C988152A"/>
    <w:styleLink w:val="ListAppendix"/>
    <w:lvl w:ilvl="0">
      <w:start w:val="1"/>
      <w:numFmt w:val="upperLetter"/>
      <w:pStyle w:val="Heading9"/>
      <w:lvlText w:val="Appendix %1"/>
      <w:lvlJc w:val="left"/>
      <w:pPr>
        <w:tabs>
          <w:tab w:val="num" w:pos="2268"/>
        </w:tabs>
        <w:ind w:left="2268" w:hanging="2268"/>
      </w:pPr>
      <w:rPr>
        <w:rFonts w:hint="default"/>
      </w:rPr>
    </w:lvl>
    <w:lvl w:ilvl="1">
      <w:start w:val="1"/>
      <w:numFmt w:val="decimal"/>
      <w:pStyle w:val="AppendixH2"/>
      <w:lvlText w:val="%1-%2"/>
      <w:lvlJc w:val="left"/>
      <w:pPr>
        <w:tabs>
          <w:tab w:val="num" w:pos="1134"/>
        </w:tabs>
        <w:ind w:left="1134" w:hanging="1134"/>
      </w:pPr>
      <w:rPr>
        <w:rFonts w:hint="default"/>
      </w:rPr>
    </w:lvl>
    <w:lvl w:ilvl="2">
      <w:start w:val="1"/>
      <w:numFmt w:val="decimal"/>
      <w:pStyle w:val="AppendixH3"/>
      <w:lvlText w:val="%1-%2-%3"/>
      <w:lvlJc w:val="left"/>
      <w:pPr>
        <w:tabs>
          <w:tab w:val="num" w:pos="1134"/>
        </w:tabs>
        <w:ind w:left="1134" w:hanging="1134"/>
      </w:pPr>
      <w:rPr>
        <w:rFonts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A4E610B"/>
    <w:multiLevelType w:val="multilevel"/>
    <w:tmpl w:val="9718FFDE"/>
    <w:styleLink w:val="ListNumber"/>
    <w:lvl w:ilvl="0">
      <w:start w:val="1"/>
      <w:numFmt w:val="decimal"/>
      <w:pStyle w:val="ListNumber0"/>
      <w:lvlText w:val="%1."/>
      <w:lvlJc w:val="left"/>
      <w:pPr>
        <w:tabs>
          <w:tab w:val="num" w:pos="425"/>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37725F88"/>
    <w:multiLevelType w:val="multilevel"/>
    <w:tmpl w:val="30A6D3F2"/>
    <w:numStyleLink w:val="ListBullet"/>
  </w:abstractNum>
  <w:abstractNum w:abstractNumId="9" w15:restartNumberingAfterBreak="0">
    <w:nsid w:val="3BF26A71"/>
    <w:multiLevelType w:val="multilevel"/>
    <w:tmpl w:val="E9B44B6A"/>
    <w:styleLink w:val="ListParagraph"/>
    <w:lvl w:ilvl="0">
      <w:start w:val="1"/>
      <w:numFmt w:val="none"/>
      <w:pStyle w:val="ListParagraph0"/>
      <w:lvlText w:val=""/>
      <w:lvlJc w:val="left"/>
      <w:pPr>
        <w:ind w:left="425" w:firstLine="0"/>
      </w:pPr>
      <w:rPr>
        <w:rFonts w:hint="default"/>
      </w:rPr>
    </w:lvl>
    <w:lvl w:ilvl="1">
      <w:start w:val="1"/>
      <w:numFmt w:val="none"/>
      <w:pStyle w:val="ListParagraph2"/>
      <w:lvlText w:val=""/>
      <w:lvlJc w:val="left"/>
      <w:pPr>
        <w:ind w:left="851" w:hanging="1"/>
      </w:pPr>
      <w:rPr>
        <w:rFonts w:hint="default"/>
      </w:rPr>
    </w:lvl>
    <w:lvl w:ilvl="2">
      <w:start w:val="1"/>
      <w:numFmt w:val="none"/>
      <w:pStyle w:val="ListParagraph3"/>
      <w:lvlText w:val=""/>
      <w:lvlJc w:val="left"/>
      <w:pPr>
        <w:ind w:left="1276" w:hanging="1"/>
      </w:pPr>
      <w:rPr>
        <w:rFonts w:hint="default"/>
      </w:rPr>
    </w:lvl>
    <w:lvl w:ilvl="3">
      <w:start w:val="1"/>
      <w:numFmt w:val="none"/>
      <w:pStyle w:val="ListParagraph4"/>
      <w:lvlText w:val=""/>
      <w:lvlJc w:val="left"/>
      <w:pPr>
        <w:ind w:left="1701" w:hanging="1"/>
      </w:pPr>
      <w:rPr>
        <w:rFonts w:hint="default"/>
      </w:rPr>
    </w:lvl>
    <w:lvl w:ilvl="4">
      <w:start w:val="1"/>
      <w:numFmt w:val="none"/>
      <w:pStyle w:val="ListParagraph5"/>
      <w:lvlText w:val=""/>
      <w:lvlJc w:val="left"/>
      <w:pPr>
        <w:ind w:left="2126" w:hanging="1"/>
      </w:pPr>
      <w:rPr>
        <w:rFonts w:hint="default"/>
      </w:rPr>
    </w:lvl>
    <w:lvl w:ilvl="5">
      <w:start w:val="1"/>
      <w:numFmt w:val="none"/>
      <w:pStyle w:val="ListParagraph6"/>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4FFD6F6B"/>
    <w:multiLevelType w:val="multilevel"/>
    <w:tmpl w:val="9718FFDE"/>
    <w:numStyleLink w:val="ListNumber"/>
  </w:abstractNum>
  <w:abstractNum w:abstractNumId="11" w15:restartNumberingAfterBreak="0">
    <w:nsid w:val="725B532E"/>
    <w:multiLevelType w:val="multilevel"/>
    <w:tmpl w:val="30A6D3F2"/>
    <w:styleLink w:val="ListBullet"/>
    <w:lvl w:ilvl="0">
      <w:start w:val="1"/>
      <w:numFmt w:val="bullet"/>
      <w:pStyle w:val="ListBullet0"/>
      <w:lvlText w:val=""/>
      <w:lvlJc w:val="left"/>
      <w:pPr>
        <w:tabs>
          <w:tab w:val="num" w:pos="425"/>
        </w:tabs>
        <w:ind w:left="227" w:hanging="227"/>
      </w:pPr>
      <w:rPr>
        <w:rFonts w:ascii="Symbol" w:hAnsi="Symbol" w:cs="Times New Roman" w:hint="default"/>
        <w:color w:val="D7DF23" w:themeColor="accent2"/>
        <w:sz w:val="28"/>
        <w:szCs w:val="28"/>
      </w:rPr>
    </w:lvl>
    <w:lvl w:ilvl="1">
      <w:start w:val="1"/>
      <w:numFmt w:val="bullet"/>
      <w:pStyle w:val="ListBullet2"/>
      <w:lvlText w:val="–"/>
      <w:lvlJc w:val="left"/>
      <w:pPr>
        <w:tabs>
          <w:tab w:val="num" w:pos="652"/>
        </w:tabs>
        <w:ind w:left="454" w:hanging="227"/>
      </w:pPr>
      <w:rPr>
        <w:rFonts w:ascii="Arial Rounded MT" w:hAnsi="Arial Rounded MT" w:hint="default"/>
        <w:color w:val="auto"/>
      </w:rPr>
    </w:lvl>
    <w:lvl w:ilvl="2">
      <w:start w:val="1"/>
      <w:numFmt w:val="bullet"/>
      <w:pStyle w:val="ListBullet3"/>
      <w:lvlText w:val=""/>
      <w:lvlJc w:val="left"/>
      <w:pPr>
        <w:tabs>
          <w:tab w:val="num" w:pos="879"/>
        </w:tabs>
        <w:ind w:left="681" w:hanging="227"/>
      </w:pPr>
      <w:rPr>
        <w:rFonts w:ascii="Symbol" w:hAnsi="Symbol" w:hint="default"/>
      </w:rPr>
    </w:lvl>
    <w:lvl w:ilvl="3">
      <w:start w:val="1"/>
      <w:numFmt w:val="bullet"/>
      <w:pStyle w:val="ListBullet4"/>
      <w:lvlText w:val="–"/>
      <w:lvlJc w:val="left"/>
      <w:pPr>
        <w:tabs>
          <w:tab w:val="num" w:pos="1106"/>
        </w:tabs>
        <w:ind w:left="908" w:hanging="227"/>
      </w:pPr>
      <w:rPr>
        <w:rFonts w:ascii="Arial Rounded MT" w:hAnsi="Arial Rounded MT" w:hint="default"/>
      </w:rPr>
    </w:lvl>
    <w:lvl w:ilvl="4">
      <w:start w:val="1"/>
      <w:numFmt w:val="bullet"/>
      <w:pStyle w:val="ListBullet5"/>
      <w:lvlText w:val=""/>
      <w:lvlJc w:val="left"/>
      <w:pPr>
        <w:tabs>
          <w:tab w:val="num" w:pos="1333"/>
        </w:tabs>
        <w:ind w:left="1135" w:hanging="227"/>
      </w:pPr>
      <w:rPr>
        <w:rFonts w:ascii="Symbol" w:hAnsi="Symbol" w:hint="default"/>
        <w:color w:val="auto"/>
      </w:rPr>
    </w:lvl>
    <w:lvl w:ilvl="5">
      <w:start w:val="1"/>
      <w:numFmt w:val="bullet"/>
      <w:pStyle w:val="ListBullet6"/>
      <w:lvlText w:val="–"/>
      <w:lvlJc w:val="left"/>
      <w:pPr>
        <w:tabs>
          <w:tab w:val="num" w:pos="1560"/>
        </w:tabs>
        <w:ind w:left="1362" w:hanging="227"/>
      </w:pPr>
      <w:rPr>
        <w:rFonts w:ascii="Arial Rounded MT" w:hAnsi="Arial Rounded MT" w:hint="default"/>
      </w:rPr>
    </w:lvl>
    <w:lvl w:ilvl="6">
      <w:start w:val="1"/>
      <w:numFmt w:val="none"/>
      <w:lvlText w:val="%7"/>
      <w:lvlJc w:val="left"/>
      <w:pPr>
        <w:tabs>
          <w:tab w:val="num" w:pos="1787"/>
        </w:tabs>
        <w:ind w:left="1589" w:hanging="227"/>
      </w:pPr>
      <w:rPr>
        <w:rFonts w:hint="default"/>
      </w:rPr>
    </w:lvl>
    <w:lvl w:ilvl="7">
      <w:start w:val="1"/>
      <w:numFmt w:val="none"/>
      <w:lvlText w:val=""/>
      <w:lvlJc w:val="left"/>
      <w:pPr>
        <w:tabs>
          <w:tab w:val="num" w:pos="2014"/>
        </w:tabs>
        <w:ind w:left="1816" w:hanging="227"/>
      </w:pPr>
      <w:rPr>
        <w:rFonts w:hint="default"/>
      </w:rPr>
    </w:lvl>
    <w:lvl w:ilvl="8">
      <w:start w:val="1"/>
      <w:numFmt w:val="none"/>
      <w:lvlText w:val=""/>
      <w:lvlJc w:val="left"/>
      <w:pPr>
        <w:tabs>
          <w:tab w:val="num" w:pos="2241"/>
        </w:tabs>
        <w:ind w:left="2043" w:hanging="227"/>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1"/>
  </w:num>
  <w:num w:numId="6">
    <w:abstractNumId w:val="5"/>
  </w:num>
  <w:num w:numId="7">
    <w:abstractNumId w:val="4"/>
  </w:num>
  <w:num w:numId="8">
    <w:abstractNumId w:val="9"/>
  </w:num>
  <w:num w:numId="9">
    <w:abstractNumId w:val="6"/>
  </w:num>
  <w:num w:numId="10">
    <w:abstractNumId w:val="7"/>
  </w:num>
  <w:num w:numId="11">
    <w:abstractNumId w:val="5"/>
  </w:num>
  <w:num w:numId="12">
    <w:abstractNumId w:val="6"/>
  </w:num>
  <w:num w:numId="13">
    <w:abstractNumId w:val="7"/>
  </w:num>
  <w:num w:numId="14">
    <w:abstractNumId w:val="10"/>
  </w:num>
  <w:num w:numId="15">
    <w:abstractNumId w:val="1"/>
  </w:num>
  <w:num w:numId="1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efaultTableStyle w:val="TableNoBorder1"/>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96"/>
    <w:rsid w:val="00011E94"/>
    <w:rsid w:val="000129BA"/>
    <w:rsid w:val="0002230E"/>
    <w:rsid w:val="000414C1"/>
    <w:rsid w:val="00045E64"/>
    <w:rsid w:val="00050781"/>
    <w:rsid w:val="000542C6"/>
    <w:rsid w:val="00055DFD"/>
    <w:rsid w:val="00061D1B"/>
    <w:rsid w:val="00071E3E"/>
    <w:rsid w:val="000957E0"/>
    <w:rsid w:val="000F2A71"/>
    <w:rsid w:val="000F6EC7"/>
    <w:rsid w:val="00106586"/>
    <w:rsid w:val="001273E5"/>
    <w:rsid w:val="00142714"/>
    <w:rsid w:val="00143D35"/>
    <w:rsid w:val="0015541E"/>
    <w:rsid w:val="00170A16"/>
    <w:rsid w:val="00173321"/>
    <w:rsid w:val="0017399F"/>
    <w:rsid w:val="00196C64"/>
    <w:rsid w:val="001E0D98"/>
    <w:rsid w:val="001E3B79"/>
    <w:rsid w:val="001E544B"/>
    <w:rsid w:val="00200B7A"/>
    <w:rsid w:val="002166F4"/>
    <w:rsid w:val="00225766"/>
    <w:rsid w:val="002351E3"/>
    <w:rsid w:val="00243F0E"/>
    <w:rsid w:val="0027480E"/>
    <w:rsid w:val="002A0FA3"/>
    <w:rsid w:val="002A1CF5"/>
    <w:rsid w:val="002B2AE8"/>
    <w:rsid w:val="002B4583"/>
    <w:rsid w:val="002C2547"/>
    <w:rsid w:val="002E3E18"/>
    <w:rsid w:val="002E496D"/>
    <w:rsid w:val="002E73E2"/>
    <w:rsid w:val="002F612F"/>
    <w:rsid w:val="002F7469"/>
    <w:rsid w:val="00301E18"/>
    <w:rsid w:val="003231F1"/>
    <w:rsid w:val="00326DCF"/>
    <w:rsid w:val="00337679"/>
    <w:rsid w:val="00340176"/>
    <w:rsid w:val="0034680F"/>
    <w:rsid w:val="0035730D"/>
    <w:rsid w:val="00374199"/>
    <w:rsid w:val="003861DB"/>
    <w:rsid w:val="00395CC2"/>
    <w:rsid w:val="003A0096"/>
    <w:rsid w:val="003B018F"/>
    <w:rsid w:val="003C0396"/>
    <w:rsid w:val="003D1877"/>
    <w:rsid w:val="003D3BB6"/>
    <w:rsid w:val="003D7D3B"/>
    <w:rsid w:val="003F402A"/>
    <w:rsid w:val="00404FE6"/>
    <w:rsid w:val="00411753"/>
    <w:rsid w:val="00422413"/>
    <w:rsid w:val="004256AC"/>
    <w:rsid w:val="0043489C"/>
    <w:rsid w:val="004369FD"/>
    <w:rsid w:val="00440602"/>
    <w:rsid w:val="00445521"/>
    <w:rsid w:val="00455ADB"/>
    <w:rsid w:val="004B69B5"/>
    <w:rsid w:val="004C5D03"/>
    <w:rsid w:val="004E0C77"/>
    <w:rsid w:val="004E13BD"/>
    <w:rsid w:val="0050119B"/>
    <w:rsid w:val="00520180"/>
    <w:rsid w:val="005320EF"/>
    <w:rsid w:val="005349DA"/>
    <w:rsid w:val="00550DFD"/>
    <w:rsid w:val="005516FD"/>
    <w:rsid w:val="00555932"/>
    <w:rsid w:val="00556B2F"/>
    <w:rsid w:val="0056032A"/>
    <w:rsid w:val="005810AE"/>
    <w:rsid w:val="005B401F"/>
    <w:rsid w:val="005B54F0"/>
    <w:rsid w:val="005D0167"/>
    <w:rsid w:val="005E7363"/>
    <w:rsid w:val="006230B5"/>
    <w:rsid w:val="00631C6B"/>
    <w:rsid w:val="00633066"/>
    <w:rsid w:val="00635418"/>
    <w:rsid w:val="0065778A"/>
    <w:rsid w:val="00663C95"/>
    <w:rsid w:val="0066600D"/>
    <w:rsid w:val="00670B05"/>
    <w:rsid w:val="00681855"/>
    <w:rsid w:val="00687CE0"/>
    <w:rsid w:val="00693B7D"/>
    <w:rsid w:val="006A23B4"/>
    <w:rsid w:val="006B7935"/>
    <w:rsid w:val="006C0E44"/>
    <w:rsid w:val="006D4D54"/>
    <w:rsid w:val="006F76F2"/>
    <w:rsid w:val="00704719"/>
    <w:rsid w:val="0073668D"/>
    <w:rsid w:val="0074034B"/>
    <w:rsid w:val="007735FA"/>
    <w:rsid w:val="0077425C"/>
    <w:rsid w:val="007A1DA3"/>
    <w:rsid w:val="007B03EC"/>
    <w:rsid w:val="007B215D"/>
    <w:rsid w:val="007B6BB0"/>
    <w:rsid w:val="007C2686"/>
    <w:rsid w:val="007C38B8"/>
    <w:rsid w:val="007E7D74"/>
    <w:rsid w:val="007F2874"/>
    <w:rsid w:val="007F5557"/>
    <w:rsid w:val="008032F6"/>
    <w:rsid w:val="00804168"/>
    <w:rsid w:val="00824537"/>
    <w:rsid w:val="00834296"/>
    <w:rsid w:val="00835BAF"/>
    <w:rsid w:val="008476B0"/>
    <w:rsid w:val="00855C92"/>
    <w:rsid w:val="00855ED6"/>
    <w:rsid w:val="0086012B"/>
    <w:rsid w:val="00862690"/>
    <w:rsid w:val="008627F9"/>
    <w:rsid w:val="00872D75"/>
    <w:rsid w:val="00883456"/>
    <w:rsid w:val="0088737C"/>
    <w:rsid w:val="00896C4F"/>
    <w:rsid w:val="008B5D6F"/>
    <w:rsid w:val="008C7E09"/>
    <w:rsid w:val="008D7924"/>
    <w:rsid w:val="008D7ECE"/>
    <w:rsid w:val="008E37AF"/>
    <w:rsid w:val="008F7315"/>
    <w:rsid w:val="00911AF9"/>
    <w:rsid w:val="009210D0"/>
    <w:rsid w:val="00922F5B"/>
    <w:rsid w:val="0095081C"/>
    <w:rsid w:val="00950A88"/>
    <w:rsid w:val="009559C9"/>
    <w:rsid w:val="00985BF5"/>
    <w:rsid w:val="00992694"/>
    <w:rsid w:val="009A7B44"/>
    <w:rsid w:val="009D6143"/>
    <w:rsid w:val="009D7CCE"/>
    <w:rsid w:val="009E4AEB"/>
    <w:rsid w:val="009E6379"/>
    <w:rsid w:val="009E6D5A"/>
    <w:rsid w:val="009F3881"/>
    <w:rsid w:val="00A02F12"/>
    <w:rsid w:val="00A0389E"/>
    <w:rsid w:val="00A12FF2"/>
    <w:rsid w:val="00A17947"/>
    <w:rsid w:val="00A20DA1"/>
    <w:rsid w:val="00A22D3E"/>
    <w:rsid w:val="00A23437"/>
    <w:rsid w:val="00A27CCB"/>
    <w:rsid w:val="00A34437"/>
    <w:rsid w:val="00A4454E"/>
    <w:rsid w:val="00A55446"/>
    <w:rsid w:val="00A55B40"/>
    <w:rsid w:val="00A67F15"/>
    <w:rsid w:val="00A82E64"/>
    <w:rsid w:val="00A83F6F"/>
    <w:rsid w:val="00A96379"/>
    <w:rsid w:val="00AA27EF"/>
    <w:rsid w:val="00AA778E"/>
    <w:rsid w:val="00AC3A08"/>
    <w:rsid w:val="00AC58FF"/>
    <w:rsid w:val="00AC7A00"/>
    <w:rsid w:val="00AE1E3C"/>
    <w:rsid w:val="00AF5F61"/>
    <w:rsid w:val="00B025B0"/>
    <w:rsid w:val="00B03D47"/>
    <w:rsid w:val="00B153C1"/>
    <w:rsid w:val="00B219EA"/>
    <w:rsid w:val="00B27CD8"/>
    <w:rsid w:val="00B3115D"/>
    <w:rsid w:val="00B36A6A"/>
    <w:rsid w:val="00B60A58"/>
    <w:rsid w:val="00B60F31"/>
    <w:rsid w:val="00B67DAF"/>
    <w:rsid w:val="00B742E4"/>
    <w:rsid w:val="00B83DFF"/>
    <w:rsid w:val="00B86ED7"/>
    <w:rsid w:val="00BB1C3C"/>
    <w:rsid w:val="00BB6E09"/>
    <w:rsid w:val="00BC0E71"/>
    <w:rsid w:val="00BD43B0"/>
    <w:rsid w:val="00BE5966"/>
    <w:rsid w:val="00BF057A"/>
    <w:rsid w:val="00C07B08"/>
    <w:rsid w:val="00C14F92"/>
    <w:rsid w:val="00C20C17"/>
    <w:rsid w:val="00C3133D"/>
    <w:rsid w:val="00C33B32"/>
    <w:rsid w:val="00C46C72"/>
    <w:rsid w:val="00C67387"/>
    <w:rsid w:val="00C71F2F"/>
    <w:rsid w:val="00CC3510"/>
    <w:rsid w:val="00CF5B33"/>
    <w:rsid w:val="00D15234"/>
    <w:rsid w:val="00D415F9"/>
    <w:rsid w:val="00D719A6"/>
    <w:rsid w:val="00D82E99"/>
    <w:rsid w:val="00D92A75"/>
    <w:rsid w:val="00DB3C02"/>
    <w:rsid w:val="00DD0AFE"/>
    <w:rsid w:val="00DE2747"/>
    <w:rsid w:val="00E2238E"/>
    <w:rsid w:val="00E26F06"/>
    <w:rsid w:val="00E44A1B"/>
    <w:rsid w:val="00E52F38"/>
    <w:rsid w:val="00E77F64"/>
    <w:rsid w:val="00E87A8D"/>
    <w:rsid w:val="00E93EB0"/>
    <w:rsid w:val="00EA5C32"/>
    <w:rsid w:val="00EA6658"/>
    <w:rsid w:val="00EE7D1B"/>
    <w:rsid w:val="00F34109"/>
    <w:rsid w:val="00F535A6"/>
    <w:rsid w:val="00F74C7B"/>
    <w:rsid w:val="00F9070E"/>
    <w:rsid w:val="00F91417"/>
    <w:rsid w:val="00FA41A5"/>
    <w:rsid w:val="00FC0BC3"/>
    <w:rsid w:val="00FC269D"/>
    <w:rsid w:val="00FC3A15"/>
    <w:rsid w:val="00FC6954"/>
    <w:rsid w:val="00FD162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88D304"/>
  <w14:defaultImageDpi w14:val="32767"/>
  <w15:chartTrackingRefBased/>
  <w15:docId w15:val="{84974262-E3DF-4DE4-A028-3A27635D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lsdException w:name="heading 6" w:semiHidden="1" w:qFormat="1"/>
    <w:lsdException w:name="heading 7" w:semiHidden="1" w:qFormat="1"/>
    <w:lsdException w:name="heading 8" w:semiHidden="1" w:qFormat="1"/>
    <w:lsdException w:name="heading 9" w:uiPriority="1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CCB"/>
    <w:pPr>
      <w:spacing w:after="0" w:line="240" w:lineRule="auto"/>
    </w:pPr>
    <w:rPr>
      <w:sz w:val="24"/>
    </w:rPr>
  </w:style>
  <w:style w:type="paragraph" w:styleId="Heading1">
    <w:name w:val="heading 1"/>
    <w:basedOn w:val="Normal"/>
    <w:next w:val="BodyText"/>
    <w:link w:val="Heading1Char"/>
    <w:uiPriority w:val="1"/>
    <w:qFormat/>
    <w:rsid w:val="001E0D98"/>
    <w:pPr>
      <w:keepNext/>
      <w:keepLines/>
      <w:spacing w:before="360" w:after="240"/>
      <w:outlineLvl w:val="0"/>
    </w:pPr>
    <w:rPr>
      <w:rFonts w:asciiTheme="majorHAnsi" w:eastAsiaTheme="majorEastAsia" w:hAnsiTheme="majorHAnsi" w:cstheme="majorBidi"/>
      <w:b/>
      <w:noProof/>
      <w:spacing w:val="-5"/>
      <w:sz w:val="56"/>
      <w:szCs w:val="36"/>
    </w:rPr>
  </w:style>
  <w:style w:type="paragraph" w:styleId="Heading2">
    <w:name w:val="heading 2"/>
    <w:basedOn w:val="Normal"/>
    <w:next w:val="BodyText"/>
    <w:link w:val="Heading2Char"/>
    <w:uiPriority w:val="1"/>
    <w:qFormat/>
    <w:rsid w:val="00A12FF2"/>
    <w:pPr>
      <w:keepNext/>
      <w:keepLines/>
      <w:spacing w:before="360" w:after="240"/>
      <w:outlineLvl w:val="1"/>
    </w:pPr>
    <w:rPr>
      <w:rFonts w:asciiTheme="majorHAnsi" w:eastAsiaTheme="majorEastAsia" w:hAnsiTheme="majorHAnsi" w:cstheme="majorBidi"/>
      <w:spacing w:val="-5"/>
      <w:sz w:val="72"/>
      <w:szCs w:val="26"/>
    </w:rPr>
  </w:style>
  <w:style w:type="paragraph" w:styleId="Heading3">
    <w:name w:val="heading 3"/>
    <w:basedOn w:val="Normal"/>
    <w:next w:val="BodyText"/>
    <w:link w:val="Heading3Char"/>
    <w:uiPriority w:val="1"/>
    <w:qFormat/>
    <w:rsid w:val="00D719A6"/>
    <w:pPr>
      <w:keepNext/>
      <w:keepLines/>
      <w:spacing w:before="240" w:after="120"/>
      <w:outlineLvl w:val="2"/>
    </w:pPr>
    <w:rPr>
      <w:rFonts w:asciiTheme="majorHAnsi" w:eastAsiaTheme="majorEastAsia" w:hAnsiTheme="majorHAnsi" w:cstheme="majorBidi"/>
      <w:color w:val="231F20" w:themeColor="text2"/>
      <w:sz w:val="28"/>
      <w:szCs w:val="24"/>
    </w:rPr>
  </w:style>
  <w:style w:type="paragraph" w:styleId="Heading4">
    <w:name w:val="heading 4"/>
    <w:basedOn w:val="Normal"/>
    <w:next w:val="BodyText"/>
    <w:link w:val="Heading4Char"/>
    <w:uiPriority w:val="1"/>
    <w:qFormat/>
    <w:rsid w:val="002166F4"/>
    <w:pPr>
      <w:keepNext/>
      <w:keepLines/>
      <w:spacing w:before="180" w:after="120"/>
      <w:outlineLvl w:val="3"/>
    </w:pPr>
    <w:rPr>
      <w:rFonts w:asciiTheme="majorHAnsi" w:eastAsiaTheme="majorEastAsia" w:hAnsiTheme="majorHAnsi" w:cstheme="majorBidi"/>
      <w:iCs/>
    </w:rPr>
  </w:style>
  <w:style w:type="paragraph" w:styleId="Heading5">
    <w:name w:val="heading 5"/>
    <w:basedOn w:val="Normal"/>
    <w:next w:val="BodyText"/>
    <w:link w:val="Heading5Char"/>
    <w:uiPriority w:val="1"/>
    <w:rsid w:val="00EA6658"/>
    <w:pPr>
      <w:keepNext/>
      <w:keepLines/>
      <w:pBdr>
        <w:bottom w:val="single" w:sz="18" w:space="6" w:color="auto"/>
      </w:pBdr>
      <w:spacing w:before="240" w:after="120"/>
      <w:outlineLvl w:val="4"/>
    </w:pPr>
    <w:rPr>
      <w:rFonts w:asciiTheme="majorHAnsi" w:eastAsiaTheme="majorEastAsia" w:hAnsiTheme="majorHAnsi" w:cstheme="majorBidi"/>
    </w:rPr>
  </w:style>
  <w:style w:type="paragraph" w:styleId="Heading9">
    <w:name w:val="heading 9"/>
    <w:aliases w:val="Appendix H1"/>
    <w:basedOn w:val="Normal"/>
    <w:next w:val="BodyText"/>
    <w:link w:val="Heading9Char"/>
    <w:uiPriority w:val="12"/>
    <w:rsid w:val="000129BA"/>
    <w:pPr>
      <w:keepNext/>
      <w:pageBreakBefore/>
      <w:numPr>
        <w:numId w:val="4"/>
      </w:numPr>
      <w:spacing w:before="360" w:after="240"/>
      <w:outlineLvl w:val="8"/>
    </w:pPr>
    <w:rPr>
      <w:b/>
      <w:iCs/>
      <w:color w:val="272727" w:themeColor="text1" w:themeTint="D8"/>
      <w:sz w:val="32"/>
      <w:szCs w:val="21"/>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rsid w:val="000129BA"/>
    <w:pPr>
      <w:numPr>
        <w:numId w:val="8"/>
      </w:numPr>
    </w:pPr>
  </w:style>
  <w:style w:type="paragraph" w:customStyle="1" w:styleId="ListParagraph2">
    <w:name w:val="List Paragraph 2"/>
    <w:basedOn w:val="ListParagraph0"/>
    <w:uiPriority w:val="19"/>
    <w:rsid w:val="000129BA"/>
    <w:pPr>
      <w:numPr>
        <w:ilvl w:val="1"/>
      </w:numPr>
    </w:pPr>
  </w:style>
  <w:style w:type="paragraph" w:customStyle="1" w:styleId="ListParagraph3">
    <w:name w:val="List Paragraph 3"/>
    <w:basedOn w:val="ListParagraph0"/>
    <w:uiPriority w:val="19"/>
    <w:rsid w:val="000129BA"/>
    <w:pPr>
      <w:numPr>
        <w:ilvl w:val="2"/>
      </w:numPr>
    </w:pPr>
  </w:style>
  <w:style w:type="paragraph" w:customStyle="1" w:styleId="ListParagraph4">
    <w:name w:val="List Paragraph 4"/>
    <w:basedOn w:val="ListParagraph0"/>
    <w:uiPriority w:val="19"/>
    <w:rsid w:val="000129BA"/>
    <w:pPr>
      <w:numPr>
        <w:ilvl w:val="3"/>
      </w:numPr>
    </w:pPr>
  </w:style>
  <w:style w:type="paragraph" w:customStyle="1" w:styleId="ListParagraph5">
    <w:name w:val="List Paragraph 5"/>
    <w:basedOn w:val="ListParagraph0"/>
    <w:uiPriority w:val="19"/>
    <w:rsid w:val="000129BA"/>
    <w:pPr>
      <w:numPr>
        <w:ilvl w:val="4"/>
      </w:numPr>
    </w:pPr>
  </w:style>
  <w:style w:type="character" w:customStyle="1" w:styleId="Heading1Char">
    <w:name w:val="Heading 1 Char"/>
    <w:basedOn w:val="DefaultParagraphFont"/>
    <w:link w:val="Heading1"/>
    <w:uiPriority w:val="1"/>
    <w:rsid w:val="001E0D98"/>
    <w:rPr>
      <w:rFonts w:asciiTheme="majorHAnsi" w:eastAsiaTheme="majorEastAsia" w:hAnsiTheme="majorHAnsi" w:cstheme="majorBidi"/>
      <w:b/>
      <w:noProof/>
      <w:spacing w:val="-5"/>
      <w:sz w:val="56"/>
      <w:szCs w:val="36"/>
    </w:rPr>
  </w:style>
  <w:style w:type="paragraph" w:customStyle="1" w:styleId="NbrHeading1">
    <w:name w:val="Nbr Heading 1"/>
    <w:basedOn w:val="Heading1"/>
    <w:next w:val="BodyText"/>
    <w:uiPriority w:val="1"/>
    <w:rsid w:val="000129BA"/>
    <w:pPr>
      <w:numPr>
        <w:numId w:val="11"/>
      </w:numPr>
    </w:pPr>
  </w:style>
  <w:style w:type="character" w:customStyle="1" w:styleId="Heading2Char">
    <w:name w:val="Heading 2 Char"/>
    <w:basedOn w:val="DefaultParagraphFont"/>
    <w:link w:val="Heading2"/>
    <w:uiPriority w:val="1"/>
    <w:rsid w:val="00A12FF2"/>
    <w:rPr>
      <w:rFonts w:asciiTheme="majorHAnsi" w:eastAsiaTheme="majorEastAsia" w:hAnsiTheme="majorHAnsi" w:cstheme="majorBidi"/>
      <w:spacing w:val="-5"/>
      <w:sz w:val="72"/>
      <w:szCs w:val="26"/>
    </w:rPr>
  </w:style>
  <w:style w:type="paragraph" w:customStyle="1" w:styleId="NbrHeading2">
    <w:name w:val="Nbr Heading 2"/>
    <w:basedOn w:val="Heading2"/>
    <w:next w:val="BodyText"/>
    <w:uiPriority w:val="1"/>
    <w:rsid w:val="000129BA"/>
    <w:pPr>
      <w:numPr>
        <w:ilvl w:val="1"/>
        <w:numId w:val="11"/>
      </w:numPr>
    </w:pPr>
  </w:style>
  <w:style w:type="character" w:customStyle="1" w:styleId="Heading3Char">
    <w:name w:val="Heading 3 Char"/>
    <w:basedOn w:val="DefaultParagraphFont"/>
    <w:link w:val="Heading3"/>
    <w:uiPriority w:val="1"/>
    <w:rsid w:val="00D719A6"/>
    <w:rPr>
      <w:rFonts w:asciiTheme="majorHAnsi" w:eastAsiaTheme="majorEastAsia" w:hAnsiTheme="majorHAnsi" w:cstheme="majorBidi"/>
      <w:color w:val="231F20" w:themeColor="text2"/>
      <w:sz w:val="28"/>
      <w:szCs w:val="24"/>
    </w:rPr>
  </w:style>
  <w:style w:type="paragraph" w:customStyle="1" w:styleId="NbrHeading3">
    <w:name w:val="Nbr Heading 3"/>
    <w:basedOn w:val="Heading3"/>
    <w:next w:val="BodyText"/>
    <w:uiPriority w:val="1"/>
    <w:rsid w:val="000129BA"/>
    <w:pPr>
      <w:numPr>
        <w:ilvl w:val="2"/>
        <w:numId w:val="11"/>
      </w:numPr>
    </w:pPr>
  </w:style>
  <w:style w:type="character" w:customStyle="1" w:styleId="Heading4Char">
    <w:name w:val="Heading 4 Char"/>
    <w:basedOn w:val="DefaultParagraphFont"/>
    <w:link w:val="Heading4"/>
    <w:uiPriority w:val="1"/>
    <w:rsid w:val="002166F4"/>
    <w:rPr>
      <w:rFonts w:asciiTheme="majorHAnsi" w:eastAsiaTheme="majorEastAsia" w:hAnsiTheme="majorHAnsi" w:cstheme="majorBidi"/>
      <w:iCs/>
      <w:sz w:val="24"/>
    </w:rPr>
  </w:style>
  <w:style w:type="paragraph" w:customStyle="1" w:styleId="NbrHeading4">
    <w:name w:val="Nbr Heading 4"/>
    <w:basedOn w:val="Heading4"/>
    <w:next w:val="BodyText"/>
    <w:uiPriority w:val="1"/>
    <w:rsid w:val="000129BA"/>
    <w:pPr>
      <w:numPr>
        <w:ilvl w:val="3"/>
        <w:numId w:val="11"/>
      </w:numPr>
    </w:pPr>
  </w:style>
  <w:style w:type="character" w:customStyle="1" w:styleId="Heading5Char">
    <w:name w:val="Heading 5 Char"/>
    <w:basedOn w:val="DefaultParagraphFont"/>
    <w:link w:val="Heading5"/>
    <w:uiPriority w:val="1"/>
    <w:rsid w:val="00EA6658"/>
    <w:rPr>
      <w:rFonts w:asciiTheme="majorHAnsi" w:eastAsiaTheme="majorEastAsia" w:hAnsiTheme="majorHAnsi" w:cstheme="majorBidi"/>
      <w:sz w:val="24"/>
    </w:rPr>
  </w:style>
  <w:style w:type="paragraph" w:customStyle="1" w:styleId="NbrHeading5">
    <w:name w:val="Nbr Heading 5"/>
    <w:basedOn w:val="Heading5"/>
    <w:next w:val="BodyText"/>
    <w:uiPriority w:val="1"/>
    <w:rsid w:val="000129BA"/>
    <w:pPr>
      <w:numPr>
        <w:ilvl w:val="4"/>
        <w:numId w:val="11"/>
      </w:numPr>
    </w:pPr>
  </w:style>
  <w:style w:type="paragraph" w:styleId="Caption">
    <w:name w:val="caption"/>
    <w:basedOn w:val="BodyText"/>
    <w:next w:val="FigureStyle"/>
    <w:uiPriority w:val="6"/>
    <w:qFormat/>
    <w:rsid w:val="00D82E99"/>
    <w:pPr>
      <w:keepNext/>
      <w:spacing w:before="80" w:after="80"/>
    </w:pPr>
    <w:rPr>
      <w:i/>
      <w:iCs/>
      <w:sz w:val="17"/>
      <w:szCs w:val="18"/>
    </w:rPr>
  </w:style>
  <w:style w:type="paragraph" w:customStyle="1" w:styleId="TableCaption">
    <w:name w:val="Table Caption"/>
    <w:basedOn w:val="BodyText"/>
    <w:next w:val="BodyText"/>
    <w:uiPriority w:val="6"/>
    <w:rsid w:val="000129BA"/>
    <w:pPr>
      <w:keepNext/>
      <w:tabs>
        <w:tab w:val="left" w:pos="1134"/>
      </w:tabs>
      <w:spacing w:before="240" w:line="240" w:lineRule="auto"/>
      <w:ind w:left="1134" w:hanging="1134"/>
    </w:pPr>
    <w:rPr>
      <w:b/>
      <w:sz w:val="20"/>
    </w:rPr>
  </w:style>
  <w:style w:type="character" w:styleId="PlaceholderText">
    <w:name w:val="Placeholder Text"/>
    <w:basedOn w:val="DefaultParagraphFont"/>
    <w:uiPriority w:val="99"/>
    <w:semiHidden/>
    <w:rsid w:val="000129BA"/>
    <w:rPr>
      <w:color w:val="808080"/>
    </w:rPr>
  </w:style>
  <w:style w:type="paragraph" w:styleId="BodyText">
    <w:name w:val="Body Text"/>
    <w:basedOn w:val="Normal"/>
    <w:link w:val="BodyTextChar"/>
    <w:qFormat/>
    <w:rsid w:val="00EA6658"/>
    <w:pPr>
      <w:spacing w:before="120" w:after="120" w:line="250" w:lineRule="auto"/>
    </w:pPr>
  </w:style>
  <w:style w:type="character" w:customStyle="1" w:styleId="BodyTextChar">
    <w:name w:val="Body Text Char"/>
    <w:basedOn w:val="DefaultParagraphFont"/>
    <w:link w:val="BodyText"/>
    <w:rsid w:val="00EA6658"/>
    <w:rPr>
      <w:sz w:val="24"/>
    </w:rPr>
  </w:style>
  <w:style w:type="paragraph" w:customStyle="1" w:styleId="FigureStyle">
    <w:name w:val="Figure Style"/>
    <w:basedOn w:val="Normal"/>
    <w:next w:val="BodyText"/>
    <w:uiPriority w:val="6"/>
    <w:rsid w:val="000129BA"/>
    <w:pPr>
      <w:spacing w:before="120" w:after="240"/>
      <w:jc w:val="center"/>
    </w:pPr>
  </w:style>
  <w:style w:type="paragraph" w:styleId="ListBullet0">
    <w:name w:val="List Bullet"/>
    <w:basedOn w:val="BodyText"/>
    <w:uiPriority w:val="2"/>
    <w:qFormat/>
    <w:rsid w:val="00D719A6"/>
    <w:pPr>
      <w:numPr>
        <w:numId w:val="16"/>
      </w:numPr>
      <w:spacing w:before="40" w:after="40"/>
    </w:pPr>
  </w:style>
  <w:style w:type="numbering" w:customStyle="1" w:styleId="ListBullet">
    <w:name w:val="List_Bullet"/>
    <w:uiPriority w:val="99"/>
    <w:rsid w:val="007A1DA3"/>
    <w:pPr>
      <w:numPr>
        <w:numId w:val="5"/>
      </w:numPr>
    </w:pPr>
  </w:style>
  <w:style w:type="paragraph" w:customStyle="1" w:styleId="ListBullet6">
    <w:name w:val="List Bullet 6"/>
    <w:basedOn w:val="ListBullet0"/>
    <w:uiPriority w:val="19"/>
    <w:rsid w:val="000129BA"/>
    <w:pPr>
      <w:numPr>
        <w:ilvl w:val="5"/>
      </w:numPr>
    </w:pPr>
  </w:style>
  <w:style w:type="paragraph" w:styleId="ListBullet2">
    <w:name w:val="List Bullet 2"/>
    <w:basedOn w:val="ListBullet0"/>
    <w:uiPriority w:val="19"/>
    <w:rsid w:val="000129BA"/>
    <w:pPr>
      <w:numPr>
        <w:ilvl w:val="1"/>
      </w:numPr>
    </w:pPr>
  </w:style>
  <w:style w:type="paragraph" w:styleId="ListBullet3">
    <w:name w:val="List Bullet 3"/>
    <w:basedOn w:val="ListBullet0"/>
    <w:uiPriority w:val="19"/>
    <w:rsid w:val="000129BA"/>
    <w:pPr>
      <w:numPr>
        <w:ilvl w:val="2"/>
      </w:numPr>
    </w:pPr>
  </w:style>
  <w:style w:type="paragraph" w:styleId="ListBullet4">
    <w:name w:val="List Bullet 4"/>
    <w:basedOn w:val="ListBullet0"/>
    <w:uiPriority w:val="19"/>
    <w:rsid w:val="000129BA"/>
    <w:pPr>
      <w:numPr>
        <w:ilvl w:val="3"/>
      </w:numPr>
    </w:pPr>
  </w:style>
  <w:style w:type="paragraph" w:styleId="ListBullet5">
    <w:name w:val="List Bullet 5"/>
    <w:basedOn w:val="ListBullet0"/>
    <w:uiPriority w:val="19"/>
    <w:rsid w:val="000129BA"/>
    <w:pPr>
      <w:numPr>
        <w:ilvl w:val="4"/>
      </w:numPr>
    </w:pPr>
  </w:style>
  <w:style w:type="paragraph" w:styleId="ListNumber0">
    <w:name w:val="List Number"/>
    <w:basedOn w:val="BodyText"/>
    <w:uiPriority w:val="2"/>
    <w:rsid w:val="007C2686"/>
    <w:pPr>
      <w:numPr>
        <w:numId w:val="14"/>
      </w:numPr>
    </w:pPr>
  </w:style>
  <w:style w:type="paragraph" w:customStyle="1" w:styleId="ListNumber6">
    <w:name w:val="List Number 6"/>
    <w:basedOn w:val="ListNumber0"/>
    <w:uiPriority w:val="19"/>
    <w:rsid w:val="000129BA"/>
    <w:pPr>
      <w:numPr>
        <w:ilvl w:val="5"/>
      </w:numPr>
    </w:pPr>
  </w:style>
  <w:style w:type="paragraph" w:customStyle="1" w:styleId="ListParagraph6">
    <w:name w:val="List Paragraph 6"/>
    <w:basedOn w:val="ListParagraph0"/>
    <w:uiPriority w:val="19"/>
    <w:rsid w:val="000129BA"/>
    <w:pPr>
      <w:numPr>
        <w:ilvl w:val="5"/>
      </w:numPr>
    </w:pPr>
  </w:style>
  <w:style w:type="paragraph" w:styleId="ListNumber2">
    <w:name w:val="List Number 2"/>
    <w:basedOn w:val="ListNumber0"/>
    <w:uiPriority w:val="19"/>
    <w:rsid w:val="000129BA"/>
    <w:pPr>
      <w:numPr>
        <w:ilvl w:val="1"/>
      </w:numPr>
    </w:pPr>
  </w:style>
  <w:style w:type="paragraph" w:styleId="ListNumber3">
    <w:name w:val="List Number 3"/>
    <w:basedOn w:val="ListNumber0"/>
    <w:uiPriority w:val="19"/>
    <w:rsid w:val="000129BA"/>
    <w:pPr>
      <w:numPr>
        <w:ilvl w:val="2"/>
      </w:numPr>
    </w:pPr>
  </w:style>
  <w:style w:type="paragraph" w:styleId="ListNumber4">
    <w:name w:val="List Number 4"/>
    <w:basedOn w:val="ListNumber0"/>
    <w:uiPriority w:val="19"/>
    <w:rsid w:val="000129BA"/>
    <w:pPr>
      <w:numPr>
        <w:ilvl w:val="3"/>
      </w:numPr>
    </w:pPr>
  </w:style>
  <w:style w:type="paragraph" w:styleId="ListNumber5">
    <w:name w:val="List Number 5"/>
    <w:basedOn w:val="ListNumber0"/>
    <w:uiPriority w:val="19"/>
    <w:rsid w:val="000129BA"/>
    <w:pPr>
      <w:numPr>
        <w:ilvl w:val="4"/>
      </w:numPr>
    </w:pPr>
  </w:style>
  <w:style w:type="numbering" w:customStyle="1" w:styleId="ListNumber">
    <w:name w:val="List_Number"/>
    <w:uiPriority w:val="99"/>
    <w:rsid w:val="007C2686"/>
    <w:pPr>
      <w:numPr>
        <w:numId w:val="7"/>
      </w:numPr>
    </w:pPr>
  </w:style>
  <w:style w:type="numbering" w:customStyle="1" w:styleId="ListParagraph">
    <w:name w:val="List_Paragraph"/>
    <w:uiPriority w:val="99"/>
    <w:rsid w:val="000129BA"/>
    <w:pPr>
      <w:numPr>
        <w:numId w:val="8"/>
      </w:numPr>
    </w:pPr>
  </w:style>
  <w:style w:type="paragraph" w:customStyle="1" w:styleId="ListAlpha0">
    <w:name w:val="List Alpha"/>
    <w:basedOn w:val="BodyText"/>
    <w:uiPriority w:val="2"/>
    <w:rsid w:val="000129BA"/>
    <w:pPr>
      <w:numPr>
        <w:numId w:val="3"/>
      </w:numPr>
    </w:pPr>
  </w:style>
  <w:style w:type="paragraph" w:customStyle="1" w:styleId="ListAlpha2">
    <w:name w:val="List Alpha 2"/>
    <w:basedOn w:val="ListAlpha0"/>
    <w:uiPriority w:val="19"/>
    <w:rsid w:val="000129BA"/>
    <w:pPr>
      <w:numPr>
        <w:ilvl w:val="1"/>
      </w:numPr>
    </w:pPr>
  </w:style>
  <w:style w:type="paragraph" w:customStyle="1" w:styleId="ListAlpha3">
    <w:name w:val="List Alpha 3"/>
    <w:basedOn w:val="ListAlpha0"/>
    <w:uiPriority w:val="19"/>
    <w:rsid w:val="000129BA"/>
    <w:pPr>
      <w:numPr>
        <w:ilvl w:val="2"/>
      </w:numPr>
    </w:pPr>
  </w:style>
  <w:style w:type="paragraph" w:customStyle="1" w:styleId="ListAlpha4">
    <w:name w:val="List Alpha 4"/>
    <w:basedOn w:val="ListAlpha0"/>
    <w:uiPriority w:val="19"/>
    <w:rsid w:val="000129BA"/>
    <w:pPr>
      <w:numPr>
        <w:ilvl w:val="3"/>
      </w:numPr>
    </w:pPr>
  </w:style>
  <w:style w:type="paragraph" w:customStyle="1" w:styleId="ListAlpha5">
    <w:name w:val="List Alpha 5"/>
    <w:basedOn w:val="ListAlpha0"/>
    <w:uiPriority w:val="19"/>
    <w:rsid w:val="000129BA"/>
    <w:pPr>
      <w:numPr>
        <w:ilvl w:val="4"/>
      </w:numPr>
    </w:pPr>
  </w:style>
  <w:style w:type="paragraph" w:customStyle="1" w:styleId="ListAlpha6">
    <w:name w:val="List Alpha 6"/>
    <w:basedOn w:val="ListAlpha0"/>
    <w:uiPriority w:val="19"/>
    <w:rsid w:val="000129BA"/>
    <w:pPr>
      <w:numPr>
        <w:ilvl w:val="5"/>
      </w:numPr>
    </w:pPr>
  </w:style>
  <w:style w:type="numbering" w:customStyle="1" w:styleId="ListAlpha">
    <w:name w:val="List_Alpha"/>
    <w:uiPriority w:val="99"/>
    <w:rsid w:val="000129BA"/>
    <w:pPr>
      <w:numPr>
        <w:numId w:val="3"/>
      </w:numPr>
    </w:pPr>
  </w:style>
  <w:style w:type="numbering" w:customStyle="1" w:styleId="ListNbrHeading">
    <w:name w:val="List_NbrHeading"/>
    <w:uiPriority w:val="99"/>
    <w:rsid w:val="000129BA"/>
    <w:pPr>
      <w:numPr>
        <w:numId w:val="6"/>
      </w:numPr>
    </w:pPr>
  </w:style>
  <w:style w:type="paragraph" w:styleId="Title">
    <w:name w:val="Title"/>
    <w:basedOn w:val="Normal"/>
    <w:next w:val="BodyText"/>
    <w:link w:val="TitleChar"/>
    <w:uiPriority w:val="10"/>
    <w:rsid w:val="002A1CF5"/>
    <w:pPr>
      <w:pBdr>
        <w:top w:val="single" w:sz="8" w:space="5" w:color="auto"/>
        <w:bottom w:val="single" w:sz="24" w:space="5" w:color="auto"/>
      </w:pBdr>
      <w:spacing w:before="360" w:after="120"/>
      <w:jc w:val="center"/>
    </w:pPr>
    <w:rPr>
      <w:rFonts w:eastAsiaTheme="majorEastAsia" w:cstheme="majorBidi"/>
      <w:caps/>
      <w:sz w:val="17"/>
      <w:szCs w:val="56"/>
    </w:rPr>
  </w:style>
  <w:style w:type="character" w:customStyle="1" w:styleId="TitleChar">
    <w:name w:val="Title Char"/>
    <w:basedOn w:val="DefaultParagraphFont"/>
    <w:link w:val="Title"/>
    <w:uiPriority w:val="10"/>
    <w:rsid w:val="002A1CF5"/>
    <w:rPr>
      <w:rFonts w:eastAsiaTheme="majorEastAsia" w:cstheme="majorBidi"/>
      <w:caps/>
      <w:sz w:val="17"/>
      <w:szCs w:val="56"/>
    </w:rPr>
  </w:style>
  <w:style w:type="paragraph" w:styleId="Subtitle">
    <w:name w:val="Subtitle"/>
    <w:basedOn w:val="Normal"/>
    <w:next w:val="BodyText"/>
    <w:link w:val="SubtitleChar"/>
    <w:uiPriority w:val="11"/>
    <w:rsid w:val="000129BA"/>
    <w:pPr>
      <w:numPr>
        <w:ilvl w:val="1"/>
      </w:numPr>
      <w:spacing w:before="360" w:after="360"/>
    </w:pPr>
    <w:rPr>
      <w:rFonts w:eastAsiaTheme="minorEastAsia"/>
      <w:sz w:val="32"/>
    </w:rPr>
  </w:style>
  <w:style w:type="character" w:customStyle="1" w:styleId="SubtitleChar">
    <w:name w:val="Subtitle Char"/>
    <w:basedOn w:val="DefaultParagraphFont"/>
    <w:link w:val="Subtitle"/>
    <w:uiPriority w:val="11"/>
    <w:rsid w:val="000129BA"/>
    <w:rPr>
      <w:rFonts w:eastAsiaTheme="minorEastAsia"/>
      <w:sz w:val="32"/>
    </w:rPr>
  </w:style>
  <w:style w:type="paragraph" w:styleId="TOCHeading">
    <w:name w:val="TOC Heading"/>
    <w:basedOn w:val="Normal"/>
    <w:next w:val="Normal"/>
    <w:uiPriority w:val="39"/>
    <w:qFormat/>
    <w:rsid w:val="000129BA"/>
    <w:pPr>
      <w:spacing w:before="360" w:after="240"/>
    </w:pPr>
    <w:rPr>
      <w:b/>
      <w:sz w:val="32"/>
    </w:rPr>
  </w:style>
  <w:style w:type="paragraph" w:styleId="TOC4">
    <w:name w:val="toc 4"/>
    <w:basedOn w:val="TOC1"/>
    <w:next w:val="Normal"/>
    <w:uiPriority w:val="39"/>
    <w:rsid w:val="000129BA"/>
    <w:pPr>
      <w:tabs>
        <w:tab w:val="left" w:pos="851"/>
      </w:tabs>
      <w:ind w:left="851" w:hanging="851"/>
    </w:pPr>
  </w:style>
  <w:style w:type="paragraph" w:styleId="TOC5">
    <w:name w:val="toc 5"/>
    <w:basedOn w:val="TOC2"/>
    <w:next w:val="Normal"/>
    <w:uiPriority w:val="39"/>
    <w:rsid w:val="000129BA"/>
    <w:pPr>
      <w:tabs>
        <w:tab w:val="left" w:pos="851"/>
      </w:tabs>
      <w:ind w:left="851" w:hanging="851"/>
    </w:pPr>
  </w:style>
  <w:style w:type="paragraph" w:styleId="TOC1">
    <w:name w:val="toc 1"/>
    <w:basedOn w:val="Normal"/>
    <w:next w:val="Normal"/>
    <w:uiPriority w:val="39"/>
    <w:rsid w:val="001E0D98"/>
    <w:pPr>
      <w:tabs>
        <w:tab w:val="right" w:leader="dot" w:pos="10314"/>
      </w:tabs>
      <w:ind w:right="567"/>
    </w:pPr>
    <w:rPr>
      <w:b/>
      <w:noProof/>
    </w:rPr>
  </w:style>
  <w:style w:type="paragraph" w:styleId="TOC6">
    <w:name w:val="toc 6"/>
    <w:basedOn w:val="TOC3"/>
    <w:next w:val="Normal"/>
    <w:uiPriority w:val="39"/>
    <w:rsid w:val="000129BA"/>
    <w:pPr>
      <w:tabs>
        <w:tab w:val="left" w:pos="851"/>
      </w:tabs>
      <w:ind w:left="851" w:hanging="851"/>
    </w:pPr>
  </w:style>
  <w:style w:type="paragraph" w:styleId="Quote">
    <w:name w:val="Quote"/>
    <w:basedOn w:val="BodyText"/>
    <w:next w:val="Normal"/>
    <w:link w:val="QuoteChar"/>
    <w:uiPriority w:val="8"/>
    <w:rsid w:val="00D719A6"/>
    <w:pPr>
      <w:spacing w:before="240" w:after="240" w:line="240" w:lineRule="auto"/>
      <w:ind w:right="567"/>
    </w:pPr>
    <w:rPr>
      <w:b/>
      <w:iCs/>
      <w:noProof/>
      <w:color w:val="D7DF23"/>
      <w:sz w:val="36"/>
      <w:szCs w:val="36"/>
    </w:rPr>
  </w:style>
  <w:style w:type="paragraph" w:styleId="TOC2">
    <w:name w:val="toc 2"/>
    <w:basedOn w:val="Normal"/>
    <w:next w:val="Normal"/>
    <w:uiPriority w:val="39"/>
    <w:rsid w:val="001E0D98"/>
    <w:pPr>
      <w:tabs>
        <w:tab w:val="right" w:leader="dot" w:pos="10314"/>
      </w:tabs>
      <w:spacing w:before="60" w:after="60"/>
      <w:ind w:left="425" w:right="567"/>
    </w:pPr>
    <w:rPr>
      <w:noProof/>
    </w:rPr>
  </w:style>
  <w:style w:type="paragraph" w:styleId="TOC3">
    <w:name w:val="toc 3"/>
    <w:basedOn w:val="Normal"/>
    <w:next w:val="Normal"/>
    <w:uiPriority w:val="39"/>
    <w:rsid w:val="00326DCF"/>
    <w:pPr>
      <w:tabs>
        <w:tab w:val="right" w:leader="dot" w:pos="10348"/>
      </w:tabs>
      <w:spacing w:before="20" w:after="20"/>
    </w:pPr>
    <w:rPr>
      <w:noProof/>
      <w:sz w:val="20"/>
    </w:rPr>
  </w:style>
  <w:style w:type="character" w:customStyle="1" w:styleId="QuoteChar">
    <w:name w:val="Quote Char"/>
    <w:basedOn w:val="DefaultParagraphFont"/>
    <w:link w:val="Quote"/>
    <w:uiPriority w:val="8"/>
    <w:rsid w:val="00D719A6"/>
    <w:rPr>
      <w:b/>
      <w:iCs/>
      <w:noProof/>
      <w:color w:val="D7DF23"/>
      <w:sz w:val="36"/>
      <w:szCs w:val="36"/>
    </w:rPr>
  </w:style>
  <w:style w:type="paragraph" w:styleId="Footer">
    <w:name w:val="footer"/>
    <w:basedOn w:val="Normal"/>
    <w:link w:val="FooterChar"/>
    <w:uiPriority w:val="99"/>
    <w:rsid w:val="000129BA"/>
    <w:rPr>
      <w:sz w:val="18"/>
    </w:rPr>
  </w:style>
  <w:style w:type="character" w:customStyle="1" w:styleId="FooterChar">
    <w:name w:val="Footer Char"/>
    <w:basedOn w:val="DefaultParagraphFont"/>
    <w:link w:val="Footer"/>
    <w:uiPriority w:val="99"/>
    <w:rsid w:val="000129BA"/>
    <w:rPr>
      <w:sz w:val="18"/>
    </w:rPr>
  </w:style>
  <w:style w:type="paragraph" w:styleId="Header">
    <w:name w:val="header"/>
    <w:basedOn w:val="Normal"/>
    <w:link w:val="HeaderChar"/>
    <w:uiPriority w:val="99"/>
    <w:rsid w:val="003F402A"/>
    <w:rPr>
      <w:b/>
    </w:rPr>
  </w:style>
  <w:style w:type="character" w:customStyle="1" w:styleId="HeaderChar">
    <w:name w:val="Header Char"/>
    <w:basedOn w:val="DefaultParagraphFont"/>
    <w:link w:val="Header"/>
    <w:uiPriority w:val="99"/>
    <w:rsid w:val="003F402A"/>
    <w:rPr>
      <w:b/>
      <w:sz w:val="24"/>
    </w:rPr>
  </w:style>
  <w:style w:type="table" w:styleId="TableGrid">
    <w:name w:val="Table Grid"/>
    <w:aliases w:val="Table No Border"/>
    <w:basedOn w:val="TableNormal"/>
    <w:uiPriority w:val="39"/>
    <w:rsid w:val="000129BA"/>
    <w:pPr>
      <w:spacing w:after="0" w:line="240" w:lineRule="auto"/>
    </w:pPr>
    <w:tblPr>
      <w:tblCellMar>
        <w:left w:w="0" w:type="dxa"/>
        <w:right w:w="0" w:type="dxa"/>
      </w:tblCellMar>
    </w:tblPr>
  </w:style>
  <w:style w:type="paragraph" w:customStyle="1" w:styleId="TableText">
    <w:name w:val="Table Text"/>
    <w:basedOn w:val="Normal"/>
    <w:uiPriority w:val="3"/>
    <w:rsid w:val="00D92A75"/>
    <w:pPr>
      <w:spacing w:before="60" w:after="60"/>
      <w:ind w:left="113" w:right="113"/>
    </w:pPr>
    <w:rPr>
      <w:sz w:val="22"/>
    </w:rPr>
  </w:style>
  <w:style w:type="paragraph" w:customStyle="1" w:styleId="TableHeading">
    <w:name w:val="Table Heading"/>
    <w:basedOn w:val="TableText"/>
    <w:uiPriority w:val="3"/>
    <w:rsid w:val="000129BA"/>
    <w:rPr>
      <w:b/>
    </w:rPr>
  </w:style>
  <w:style w:type="paragraph" w:customStyle="1" w:styleId="TableBullet">
    <w:name w:val="Table Bullet"/>
    <w:basedOn w:val="TableText"/>
    <w:uiPriority w:val="4"/>
    <w:rsid w:val="000129BA"/>
    <w:pPr>
      <w:numPr>
        <w:numId w:val="12"/>
      </w:numPr>
    </w:pPr>
  </w:style>
  <w:style w:type="paragraph" w:customStyle="1" w:styleId="TableBullet2">
    <w:name w:val="Table Bullet 2"/>
    <w:basedOn w:val="TableBullet"/>
    <w:uiPriority w:val="19"/>
    <w:rsid w:val="000129BA"/>
    <w:pPr>
      <w:numPr>
        <w:ilvl w:val="1"/>
      </w:numPr>
    </w:pPr>
  </w:style>
  <w:style w:type="paragraph" w:customStyle="1" w:styleId="TableNumber">
    <w:name w:val="Table Number"/>
    <w:basedOn w:val="TableText"/>
    <w:uiPriority w:val="4"/>
    <w:rsid w:val="000129BA"/>
    <w:pPr>
      <w:numPr>
        <w:numId w:val="13"/>
      </w:numPr>
    </w:pPr>
  </w:style>
  <w:style w:type="paragraph" w:customStyle="1" w:styleId="TableNumber2">
    <w:name w:val="Table Number 2"/>
    <w:basedOn w:val="TableNumber"/>
    <w:uiPriority w:val="19"/>
    <w:rsid w:val="000129BA"/>
    <w:pPr>
      <w:numPr>
        <w:ilvl w:val="1"/>
      </w:numPr>
    </w:pPr>
  </w:style>
  <w:style w:type="numbering" w:customStyle="1" w:styleId="ListTableBullet">
    <w:name w:val="List_TableBullet"/>
    <w:uiPriority w:val="99"/>
    <w:rsid w:val="000129BA"/>
    <w:pPr>
      <w:numPr>
        <w:numId w:val="9"/>
      </w:numPr>
    </w:pPr>
  </w:style>
  <w:style w:type="numbering" w:customStyle="1" w:styleId="ListTableNumber">
    <w:name w:val="List_TableNumber"/>
    <w:uiPriority w:val="99"/>
    <w:rsid w:val="000129BA"/>
    <w:pPr>
      <w:numPr>
        <w:numId w:val="10"/>
      </w:numPr>
    </w:pPr>
  </w:style>
  <w:style w:type="paragraph" w:customStyle="1" w:styleId="CoverDetails">
    <w:name w:val="Cover Details"/>
    <w:basedOn w:val="Normal"/>
    <w:next w:val="BodyText"/>
    <w:uiPriority w:val="12"/>
    <w:rsid w:val="000129BA"/>
    <w:pPr>
      <w:spacing w:before="240" w:after="240" w:line="264" w:lineRule="auto"/>
    </w:pPr>
    <w:rPr>
      <w:b/>
    </w:rPr>
  </w:style>
  <w:style w:type="paragraph" w:customStyle="1" w:styleId="AppendixH2">
    <w:name w:val="Appendix H2"/>
    <w:basedOn w:val="Heading2"/>
    <w:next w:val="BodyText"/>
    <w:uiPriority w:val="14"/>
    <w:rsid w:val="000129BA"/>
    <w:pPr>
      <w:numPr>
        <w:ilvl w:val="1"/>
        <w:numId w:val="4"/>
      </w:numPr>
    </w:pPr>
  </w:style>
  <w:style w:type="paragraph" w:customStyle="1" w:styleId="AppendixH3">
    <w:name w:val="Appendix H3"/>
    <w:basedOn w:val="Heading3"/>
    <w:next w:val="BodyText"/>
    <w:uiPriority w:val="14"/>
    <w:rsid w:val="000129BA"/>
    <w:pPr>
      <w:numPr>
        <w:ilvl w:val="2"/>
        <w:numId w:val="4"/>
      </w:numPr>
    </w:pPr>
  </w:style>
  <w:style w:type="numbering" w:customStyle="1" w:styleId="ListAppendix">
    <w:name w:val="List_Appendix"/>
    <w:uiPriority w:val="99"/>
    <w:rsid w:val="000129BA"/>
    <w:pPr>
      <w:numPr>
        <w:numId w:val="4"/>
      </w:numPr>
    </w:pPr>
  </w:style>
  <w:style w:type="paragraph" w:styleId="TOC8">
    <w:name w:val="toc 8"/>
    <w:basedOn w:val="TOC2"/>
    <w:next w:val="Normal"/>
    <w:uiPriority w:val="39"/>
    <w:rsid w:val="000129BA"/>
    <w:pPr>
      <w:tabs>
        <w:tab w:val="left" w:pos="1701"/>
      </w:tabs>
    </w:pPr>
  </w:style>
  <w:style w:type="paragraph" w:styleId="TableofFigures">
    <w:name w:val="table of figures"/>
    <w:basedOn w:val="Normal"/>
    <w:next w:val="Normal"/>
    <w:uiPriority w:val="99"/>
    <w:unhideWhenUsed/>
    <w:rsid w:val="000129BA"/>
    <w:pPr>
      <w:tabs>
        <w:tab w:val="left" w:pos="1134"/>
        <w:tab w:val="right" w:leader="dot" w:pos="9628"/>
      </w:tabs>
      <w:spacing w:before="60" w:after="60"/>
      <w:ind w:left="1134" w:hanging="1134"/>
    </w:pPr>
  </w:style>
  <w:style w:type="character" w:styleId="Hyperlink">
    <w:name w:val="Hyperlink"/>
    <w:basedOn w:val="DefaultParagraphFont"/>
    <w:uiPriority w:val="99"/>
    <w:rsid w:val="000129BA"/>
    <w:rPr>
      <w:color w:val="00B0CA" w:themeColor="hyperlink"/>
      <w:u w:val="single"/>
    </w:rPr>
  </w:style>
  <w:style w:type="character" w:customStyle="1" w:styleId="Heading9Char">
    <w:name w:val="Heading 9 Char"/>
    <w:aliases w:val="Appendix H1 Char"/>
    <w:basedOn w:val="DefaultParagraphFont"/>
    <w:link w:val="Heading9"/>
    <w:uiPriority w:val="12"/>
    <w:rsid w:val="000129BA"/>
    <w:rPr>
      <w:b/>
      <w:iCs/>
      <w:color w:val="272727" w:themeColor="text1" w:themeTint="D8"/>
      <w:sz w:val="32"/>
      <w:szCs w:val="21"/>
    </w:rPr>
  </w:style>
  <w:style w:type="paragraph" w:styleId="FootnoteText">
    <w:name w:val="footnote text"/>
    <w:basedOn w:val="Normal"/>
    <w:link w:val="FootnoteTextChar"/>
    <w:uiPriority w:val="99"/>
    <w:rsid w:val="000129BA"/>
    <w:rPr>
      <w:sz w:val="16"/>
      <w:szCs w:val="20"/>
    </w:rPr>
  </w:style>
  <w:style w:type="character" w:customStyle="1" w:styleId="FootnoteTextChar">
    <w:name w:val="Footnote Text Char"/>
    <w:basedOn w:val="DefaultParagraphFont"/>
    <w:link w:val="FootnoteText"/>
    <w:uiPriority w:val="99"/>
    <w:rsid w:val="000129BA"/>
    <w:rPr>
      <w:sz w:val="16"/>
      <w:szCs w:val="20"/>
    </w:rPr>
  </w:style>
  <w:style w:type="character" w:styleId="FootnoteReference">
    <w:name w:val="footnote reference"/>
    <w:basedOn w:val="DefaultParagraphFont"/>
    <w:uiPriority w:val="99"/>
    <w:semiHidden/>
    <w:rsid w:val="000129BA"/>
    <w:rPr>
      <w:vertAlign w:val="superscript"/>
    </w:rPr>
  </w:style>
  <w:style w:type="character" w:styleId="FollowedHyperlink">
    <w:name w:val="FollowedHyperlink"/>
    <w:basedOn w:val="DefaultParagraphFont"/>
    <w:uiPriority w:val="15"/>
    <w:rsid w:val="000129BA"/>
    <w:rPr>
      <w:color w:val="00B0CA" w:themeColor="followedHyperlink"/>
      <w:u w:val="single"/>
    </w:rPr>
  </w:style>
  <w:style w:type="character" w:styleId="UnresolvedMention">
    <w:name w:val="Unresolved Mention"/>
    <w:basedOn w:val="DefaultParagraphFont"/>
    <w:uiPriority w:val="99"/>
    <w:semiHidden/>
    <w:unhideWhenUsed/>
    <w:rsid w:val="003A0096"/>
    <w:rPr>
      <w:color w:val="605E5C"/>
      <w:shd w:val="clear" w:color="auto" w:fill="E1DFDD"/>
    </w:rPr>
  </w:style>
  <w:style w:type="table" w:customStyle="1" w:styleId="LinedTable">
    <w:name w:val="Lined Table"/>
    <w:basedOn w:val="TableNormal"/>
    <w:uiPriority w:val="99"/>
    <w:rsid w:val="00D92A75"/>
    <w:pPr>
      <w:spacing w:after="0" w:line="240" w:lineRule="auto"/>
    </w:pPr>
    <w:tblPr>
      <w:tblStyleRowBandSize w:val="1"/>
      <w:tblStyleColBandSize w:val="1"/>
      <w:tblBorders>
        <w:insideV w:val="single" w:sz="4" w:space="0" w:color="BCBEC0"/>
      </w:tblBorders>
      <w:tblCellMar>
        <w:left w:w="0" w:type="dxa"/>
        <w:right w:w="0" w:type="dxa"/>
      </w:tblCellMar>
    </w:tblPr>
    <w:tblStylePr w:type="firstRow">
      <w:rPr>
        <w:color w:val="auto"/>
      </w:rPr>
      <w:tblPr/>
      <w:tcPr>
        <w:tcBorders>
          <w:bottom w:val="single" w:sz="18" w:space="0" w:color="231F20" w:themeColor="text2"/>
        </w:tcBorders>
        <w:shd w:val="clear" w:color="auto" w:fill="FFFFFF" w:themeFill="background1"/>
      </w:tcPr>
    </w:tblStylePr>
    <w:tblStylePr w:type="firstCol">
      <w:rPr>
        <w:color w:val="auto"/>
      </w:rPr>
    </w:tblStylePr>
  </w:style>
  <w:style w:type="table" w:customStyle="1" w:styleId="Table2">
    <w:name w:val="Table 2"/>
    <w:basedOn w:val="TableNormal"/>
    <w:uiPriority w:val="99"/>
    <w:rsid w:val="000129BA"/>
    <w:pPr>
      <w:spacing w:after="0" w:line="240" w:lineRule="auto"/>
    </w:pPr>
    <w:tblPr>
      <w:tblStyleRowBandSize w:val="1"/>
      <w:tblStyleColBandSize w:val="1"/>
      <w:tblBorders>
        <w:top w:val="single" w:sz="4" w:space="0" w:color="6C7010" w:themeColor="accent2" w:themeShade="80"/>
        <w:left w:val="single" w:sz="4" w:space="0" w:color="6C7010" w:themeColor="accent2" w:themeShade="80"/>
        <w:bottom w:val="single" w:sz="4" w:space="0" w:color="6C7010" w:themeColor="accent2" w:themeShade="80"/>
        <w:right w:val="single" w:sz="4" w:space="0" w:color="6C7010" w:themeColor="accent2" w:themeShade="80"/>
        <w:insideH w:val="single" w:sz="4" w:space="0" w:color="6C7010" w:themeColor="accent2" w:themeShade="80"/>
        <w:insideV w:val="single" w:sz="4" w:space="0" w:color="6C7010" w:themeColor="accent2" w:themeShade="80"/>
      </w:tblBorders>
      <w:tblCellMar>
        <w:left w:w="0" w:type="dxa"/>
        <w:right w:w="0" w:type="dxa"/>
      </w:tblCellMar>
    </w:tblPr>
    <w:tblStylePr w:type="firstRow">
      <w:rPr>
        <w:color w:val="FFFFFF" w:themeColor="background1"/>
      </w:rPr>
      <w:tblPr/>
      <w:tcPr>
        <w:shd w:val="clear" w:color="auto" w:fill="D7DF23" w:themeFill="accent2"/>
      </w:tcPr>
    </w:tblStylePr>
    <w:tblStylePr w:type="lastRow">
      <w:tblPr/>
      <w:tcPr>
        <w:shd w:val="clear" w:color="auto" w:fill="F7F8D2" w:themeFill="accent2" w:themeFillTint="33"/>
      </w:tcPr>
    </w:tblStylePr>
    <w:tblStylePr w:type="firstCol">
      <w:rPr>
        <w:color w:val="FFFFFF" w:themeColor="background1"/>
      </w:rPr>
      <w:tblPr/>
      <w:tcPr>
        <w:shd w:val="clear" w:color="auto" w:fill="D7DF23" w:themeFill="accent2"/>
      </w:tcPr>
    </w:tblStylePr>
    <w:tblStylePr w:type="lastCol">
      <w:tblPr/>
      <w:tcPr>
        <w:shd w:val="clear" w:color="auto" w:fill="F7F8D2" w:themeFill="accent2" w:themeFillTint="33"/>
      </w:tcPr>
    </w:tblStylePr>
    <w:tblStylePr w:type="band2Vert">
      <w:tblPr/>
      <w:tcPr>
        <w:shd w:val="clear" w:color="auto" w:fill="F7F8D2" w:themeFill="accent2" w:themeFillTint="33"/>
      </w:tcPr>
    </w:tblStylePr>
    <w:tblStylePr w:type="band2Horz">
      <w:tblPr/>
      <w:tcPr>
        <w:shd w:val="clear" w:color="auto" w:fill="F7F8D2" w:themeFill="accent2" w:themeFillTint="33"/>
      </w:tcPr>
    </w:tblStylePr>
  </w:style>
  <w:style w:type="table" w:customStyle="1" w:styleId="Table3">
    <w:name w:val="Table 3"/>
    <w:basedOn w:val="TableNormal"/>
    <w:uiPriority w:val="99"/>
    <w:rsid w:val="000129BA"/>
    <w:pPr>
      <w:spacing w:after="0" w:line="240" w:lineRule="auto"/>
    </w:pPr>
    <w:tblPr>
      <w:tblStyleRowBandSize w:val="1"/>
      <w:tblStyleColBandSize w:val="1"/>
      <w:tblBorders>
        <w:top w:val="single" w:sz="4" w:space="0" w:color="B4BD28" w:themeColor="accent3" w:themeShade="80"/>
        <w:left w:val="single" w:sz="4" w:space="0" w:color="B4BD28" w:themeColor="accent3" w:themeShade="80"/>
        <w:bottom w:val="single" w:sz="4" w:space="0" w:color="B4BD28" w:themeColor="accent3" w:themeShade="80"/>
        <w:right w:val="single" w:sz="4" w:space="0" w:color="B4BD28" w:themeColor="accent3" w:themeShade="80"/>
        <w:insideH w:val="single" w:sz="4" w:space="0" w:color="B4BD28" w:themeColor="accent3" w:themeShade="80"/>
        <w:insideV w:val="single" w:sz="4" w:space="0" w:color="B4BD28" w:themeColor="accent3" w:themeShade="80"/>
      </w:tblBorders>
      <w:tblCellMar>
        <w:left w:w="0" w:type="dxa"/>
        <w:right w:w="0" w:type="dxa"/>
      </w:tblCellMar>
    </w:tblPr>
    <w:tblStylePr w:type="firstRow">
      <w:tblPr/>
      <w:tcPr>
        <w:shd w:val="clear" w:color="auto" w:fill="F4F6D5" w:themeFill="accent3"/>
      </w:tcPr>
    </w:tblStylePr>
    <w:tblStylePr w:type="lastRow">
      <w:tblPr/>
      <w:tcPr>
        <w:shd w:val="clear" w:color="auto" w:fill="FCFDF6" w:themeFill="accent3" w:themeFillTint="33"/>
      </w:tcPr>
    </w:tblStylePr>
    <w:tblStylePr w:type="firstCol">
      <w:tblPr/>
      <w:tcPr>
        <w:shd w:val="clear" w:color="auto" w:fill="F4F6D5" w:themeFill="accent3"/>
      </w:tcPr>
    </w:tblStylePr>
    <w:tblStylePr w:type="lastCol">
      <w:tblPr/>
      <w:tcPr>
        <w:shd w:val="clear" w:color="auto" w:fill="FCFDF6" w:themeFill="accent3" w:themeFillTint="33"/>
      </w:tcPr>
    </w:tblStylePr>
    <w:tblStylePr w:type="band2Vert">
      <w:tblPr/>
      <w:tcPr>
        <w:shd w:val="clear" w:color="auto" w:fill="FCFDF6" w:themeFill="accent3" w:themeFillTint="33"/>
      </w:tcPr>
    </w:tblStylePr>
    <w:tblStylePr w:type="band2Horz">
      <w:tblPr/>
      <w:tcPr>
        <w:shd w:val="clear" w:color="auto" w:fill="FCFDF6" w:themeFill="accent3" w:themeFillTint="33"/>
      </w:tcPr>
    </w:tblStylePr>
  </w:style>
  <w:style w:type="table" w:customStyle="1" w:styleId="Table4">
    <w:name w:val="Table 4"/>
    <w:basedOn w:val="TableNormal"/>
    <w:uiPriority w:val="99"/>
    <w:rsid w:val="000129BA"/>
    <w:pPr>
      <w:spacing w:after="0" w:line="240" w:lineRule="auto"/>
    </w:pPr>
    <w:tblPr>
      <w:tblStyleRowBandSize w:val="1"/>
      <w:tblStyleColBandSize w:val="1"/>
      <w:tblBorders>
        <w:top w:val="single" w:sz="4" w:space="0" w:color="ACB422" w:themeColor="accent4" w:themeShade="80"/>
        <w:left w:val="single" w:sz="4" w:space="0" w:color="ACB422" w:themeColor="accent4" w:themeShade="80"/>
        <w:bottom w:val="single" w:sz="4" w:space="0" w:color="ACB422" w:themeColor="accent4" w:themeShade="80"/>
        <w:right w:val="single" w:sz="4" w:space="0" w:color="ACB422" w:themeColor="accent4" w:themeShade="80"/>
        <w:insideH w:val="single" w:sz="4" w:space="0" w:color="ACB422" w:themeColor="accent4" w:themeShade="80"/>
        <w:insideV w:val="single" w:sz="4" w:space="0" w:color="ACB422" w:themeColor="accent4" w:themeShade="80"/>
      </w:tblBorders>
      <w:tblCellMar>
        <w:left w:w="0" w:type="dxa"/>
        <w:right w:w="0" w:type="dxa"/>
      </w:tblCellMar>
    </w:tblPr>
    <w:tblStylePr w:type="firstRow">
      <w:tblPr/>
      <w:tcPr>
        <w:shd w:val="clear" w:color="auto" w:fill="EFF2BA" w:themeFill="accent4"/>
      </w:tcPr>
    </w:tblStylePr>
    <w:tblStylePr w:type="lastRow">
      <w:tblPr/>
      <w:tcPr>
        <w:shd w:val="clear" w:color="auto" w:fill="FBFCF0" w:themeFill="accent4" w:themeFillTint="33"/>
      </w:tcPr>
    </w:tblStylePr>
    <w:tblStylePr w:type="firstCol">
      <w:tblPr/>
      <w:tcPr>
        <w:shd w:val="clear" w:color="auto" w:fill="EFF2BA" w:themeFill="accent4"/>
      </w:tcPr>
    </w:tblStylePr>
    <w:tblStylePr w:type="lastCol">
      <w:tblPr/>
      <w:tcPr>
        <w:shd w:val="clear" w:color="auto" w:fill="FBFCF0" w:themeFill="accent4" w:themeFillTint="33"/>
      </w:tcPr>
    </w:tblStylePr>
    <w:tblStylePr w:type="band2Vert">
      <w:tblPr/>
      <w:tcPr>
        <w:shd w:val="clear" w:color="auto" w:fill="FBFCF0" w:themeFill="accent4" w:themeFillTint="33"/>
      </w:tcPr>
    </w:tblStylePr>
    <w:tblStylePr w:type="band2Horz">
      <w:tblPr/>
      <w:tcPr>
        <w:shd w:val="clear" w:color="auto" w:fill="FBFCF0" w:themeFill="accent4" w:themeFillTint="33"/>
      </w:tcPr>
    </w:tblStylePr>
  </w:style>
  <w:style w:type="table" w:customStyle="1" w:styleId="Table5">
    <w:name w:val="Table 5"/>
    <w:basedOn w:val="TableNormal"/>
    <w:uiPriority w:val="99"/>
    <w:rsid w:val="000129BA"/>
    <w:pPr>
      <w:spacing w:after="0" w:line="240" w:lineRule="auto"/>
    </w:pPr>
    <w:tblPr>
      <w:tblStyleRowBandSize w:val="1"/>
      <w:tblStyleColBandSize w:val="1"/>
      <w:tblBorders>
        <w:top w:val="single" w:sz="4" w:space="0" w:color="494D52" w:themeColor="accent5" w:themeShade="80"/>
        <w:left w:val="single" w:sz="4" w:space="0" w:color="494D52" w:themeColor="accent5" w:themeShade="80"/>
        <w:bottom w:val="single" w:sz="4" w:space="0" w:color="494D52" w:themeColor="accent5" w:themeShade="80"/>
        <w:right w:val="single" w:sz="4" w:space="0" w:color="494D52" w:themeColor="accent5" w:themeShade="80"/>
        <w:insideH w:val="single" w:sz="4" w:space="0" w:color="494D52" w:themeColor="accent5" w:themeShade="80"/>
        <w:insideV w:val="single" w:sz="4" w:space="0" w:color="494D52" w:themeColor="accent5" w:themeShade="80"/>
      </w:tblBorders>
      <w:tblCellMar>
        <w:left w:w="0" w:type="dxa"/>
        <w:right w:w="0" w:type="dxa"/>
      </w:tblCellMar>
    </w:tblPr>
    <w:tblStylePr w:type="firstRow">
      <w:tblPr/>
      <w:tcPr>
        <w:shd w:val="clear" w:color="auto" w:fill="959BA1" w:themeFill="accent5"/>
      </w:tcPr>
    </w:tblStylePr>
    <w:tblStylePr w:type="lastRow">
      <w:tblPr/>
      <w:tcPr>
        <w:shd w:val="clear" w:color="auto" w:fill="E9EAEC" w:themeFill="accent5" w:themeFillTint="33"/>
      </w:tcPr>
    </w:tblStylePr>
    <w:tblStylePr w:type="firstCol">
      <w:tblPr/>
      <w:tcPr>
        <w:shd w:val="clear" w:color="auto" w:fill="959BA1" w:themeFill="accent5"/>
      </w:tcPr>
    </w:tblStylePr>
    <w:tblStylePr w:type="lastCol">
      <w:tblPr/>
      <w:tcPr>
        <w:shd w:val="clear" w:color="auto" w:fill="E9EAEC" w:themeFill="accent5" w:themeFillTint="33"/>
      </w:tcPr>
    </w:tblStylePr>
    <w:tblStylePr w:type="band2Vert">
      <w:tblPr/>
      <w:tcPr>
        <w:shd w:val="clear" w:color="auto" w:fill="E9EAEC" w:themeFill="accent5" w:themeFillTint="33"/>
      </w:tcPr>
    </w:tblStylePr>
    <w:tblStylePr w:type="band2Horz">
      <w:tblPr/>
      <w:tcPr>
        <w:shd w:val="clear" w:color="auto" w:fill="E9EAEC" w:themeFill="accent5" w:themeFillTint="33"/>
      </w:tcPr>
    </w:tblStylePr>
  </w:style>
  <w:style w:type="table" w:customStyle="1" w:styleId="Table6">
    <w:name w:val="Table 6"/>
    <w:basedOn w:val="TableNormal"/>
    <w:uiPriority w:val="99"/>
    <w:rsid w:val="000129BA"/>
    <w:pPr>
      <w:spacing w:after="0" w:line="240" w:lineRule="auto"/>
    </w:pPr>
    <w:tblPr>
      <w:tblStyleRowBandSize w:val="1"/>
      <w:tblStyleColBandSize w:val="1"/>
      <w:tblBorders>
        <w:top w:val="single" w:sz="4" w:space="0" w:color="181A1B" w:themeColor="accent6" w:themeShade="80"/>
        <w:left w:val="single" w:sz="4" w:space="0" w:color="181A1B" w:themeColor="accent6" w:themeShade="80"/>
        <w:bottom w:val="single" w:sz="4" w:space="0" w:color="181A1B" w:themeColor="accent6" w:themeShade="80"/>
        <w:right w:val="single" w:sz="4" w:space="0" w:color="181A1B" w:themeColor="accent6" w:themeShade="80"/>
        <w:insideH w:val="single" w:sz="4" w:space="0" w:color="181A1B" w:themeColor="accent6" w:themeShade="80"/>
        <w:insideV w:val="single" w:sz="4" w:space="0" w:color="181A1B" w:themeColor="accent6" w:themeShade="80"/>
      </w:tblBorders>
      <w:tblCellMar>
        <w:left w:w="0" w:type="dxa"/>
        <w:right w:w="0" w:type="dxa"/>
      </w:tblCellMar>
    </w:tblPr>
    <w:tblStylePr w:type="firstRow">
      <w:tblPr/>
      <w:tcPr>
        <w:shd w:val="clear" w:color="auto" w:fill="303437" w:themeFill="accent6"/>
      </w:tcPr>
    </w:tblStylePr>
    <w:tblStylePr w:type="lastRow">
      <w:tblPr/>
      <w:tcPr>
        <w:shd w:val="clear" w:color="auto" w:fill="D3D6D9" w:themeFill="accent6" w:themeFillTint="33"/>
      </w:tcPr>
    </w:tblStylePr>
    <w:tblStylePr w:type="firstCol">
      <w:tblPr/>
      <w:tcPr>
        <w:shd w:val="clear" w:color="auto" w:fill="303437" w:themeFill="accent6"/>
      </w:tcPr>
    </w:tblStylePr>
    <w:tblStylePr w:type="lastCol">
      <w:tblPr/>
      <w:tcPr>
        <w:shd w:val="clear" w:color="auto" w:fill="D3D6D9" w:themeFill="accent6" w:themeFillTint="33"/>
      </w:tcPr>
    </w:tblStylePr>
    <w:tblStylePr w:type="band2Vert">
      <w:tblPr/>
      <w:tcPr>
        <w:shd w:val="clear" w:color="auto" w:fill="D3D6D9" w:themeFill="accent6" w:themeFillTint="33"/>
      </w:tcPr>
    </w:tblStylePr>
    <w:tblStylePr w:type="band2Horz">
      <w:tblPr/>
      <w:tcPr>
        <w:shd w:val="clear" w:color="auto" w:fill="D3D6D9" w:themeFill="accent6" w:themeFillTint="33"/>
      </w:tcPr>
    </w:tblStylePr>
  </w:style>
  <w:style w:type="table" w:customStyle="1" w:styleId="TableNoBorder1">
    <w:name w:val="Table No Border1"/>
    <w:basedOn w:val="TableNormal"/>
    <w:next w:val="TableGrid"/>
    <w:uiPriority w:val="39"/>
    <w:rsid w:val="00C14F92"/>
    <w:pPr>
      <w:spacing w:after="0" w:line="240" w:lineRule="auto"/>
    </w:pPr>
    <w:rPr>
      <w:rFonts w:ascii="Arial" w:eastAsia="Arial" w:hAnsi="Arial" w:cs="Times New Roman"/>
    </w:rPr>
    <w:tblPr>
      <w:tblInd w:w="0" w:type="nil"/>
      <w:tblCellMar>
        <w:left w:w="0" w:type="dxa"/>
        <w:right w:w="0" w:type="dxa"/>
      </w:tblCellMar>
    </w:tblPr>
  </w:style>
  <w:style w:type="paragraph" w:styleId="TOC7">
    <w:name w:val="toc 7"/>
    <w:basedOn w:val="Normal"/>
    <w:next w:val="Normal"/>
    <w:uiPriority w:val="39"/>
    <w:rsid w:val="002F7469"/>
    <w:pPr>
      <w:spacing w:after="100"/>
      <w:ind w:left="1320"/>
    </w:pPr>
  </w:style>
  <w:style w:type="paragraph" w:styleId="TOC9">
    <w:name w:val="toc 9"/>
    <w:basedOn w:val="Normal"/>
    <w:next w:val="Normal"/>
    <w:uiPriority w:val="39"/>
    <w:rsid w:val="002F7469"/>
    <w:pPr>
      <w:spacing w:after="100"/>
      <w:ind w:left="1760"/>
    </w:pPr>
  </w:style>
  <w:style w:type="paragraph" w:customStyle="1" w:styleId="CalloutText">
    <w:name w:val="Callout Text"/>
    <w:basedOn w:val="BodyText"/>
    <w:uiPriority w:val="6"/>
    <w:qFormat/>
    <w:rsid w:val="00D719A6"/>
    <w:pPr>
      <w:spacing w:before="240" w:after="240" w:line="240" w:lineRule="auto"/>
    </w:pPr>
    <w:rPr>
      <w:rFonts w:asciiTheme="majorHAnsi" w:hAnsiTheme="majorHAnsi"/>
      <w:sz w:val="28"/>
    </w:rPr>
  </w:style>
  <w:style w:type="table" w:customStyle="1" w:styleId="IndueTable">
    <w:name w:val="Indue Table"/>
    <w:basedOn w:val="TableNormal"/>
    <w:uiPriority w:val="99"/>
    <w:rsid w:val="002A1CF5"/>
    <w:pPr>
      <w:spacing w:after="0" w:line="240" w:lineRule="auto"/>
    </w:pPr>
    <w:rPr>
      <w:rFonts w:eastAsia="Times New Roman" w:cs="Times New Roman"/>
      <w:sz w:val="18"/>
      <w:szCs w:val="20"/>
      <w:lang w:eastAsia="en-AU"/>
    </w:rPr>
    <w:tblPr>
      <w:tblStyleRowBandSize w:val="1"/>
      <w:tblBorders>
        <w:top w:val="single" w:sz="4" w:space="0" w:color="231F20" w:themeColor="text2"/>
        <w:bottom w:val="single" w:sz="4" w:space="0" w:color="231F20" w:themeColor="text2"/>
        <w:insideH w:val="single" w:sz="4" w:space="0" w:color="231F20" w:themeColor="text2"/>
      </w:tblBorders>
      <w:tblCellMar>
        <w:left w:w="0" w:type="dxa"/>
        <w:right w:w="0" w:type="dxa"/>
      </w:tblCellMar>
    </w:tblPr>
    <w:tblStylePr w:type="firstRow">
      <w:pPr>
        <w:jc w:val="left"/>
      </w:pPr>
      <w:rPr>
        <w:color w:val="FFFFFF" w:themeColor="background1"/>
      </w:rPr>
      <w:tblPr/>
      <w:tcPr>
        <w:shd w:val="clear" w:color="auto" w:fill="44546A"/>
        <w:vAlign w:val="bottom"/>
      </w:tcPr>
    </w:tblStylePr>
    <w:tblStylePr w:type="band2Horz">
      <w:tblPr/>
      <w:tcPr>
        <w:shd w:val="clear" w:color="auto" w:fill="FAF9F8"/>
      </w:tcPr>
    </w:tblStylePr>
  </w:style>
  <w:style w:type="character" w:customStyle="1" w:styleId="Bold">
    <w:name w:val="Bold"/>
    <w:basedOn w:val="DefaultParagraphFont"/>
    <w:uiPriority w:val="1"/>
    <w:qFormat/>
    <w:rsid w:val="002A1CF5"/>
    <w:rPr>
      <w:rFonts w:asciiTheme="majorHAnsi" w:eastAsia="Arial" w:hAnsiTheme="maj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11036">
      <w:bodyDiv w:val="1"/>
      <w:marLeft w:val="0"/>
      <w:marRight w:val="0"/>
      <w:marTop w:val="0"/>
      <w:marBottom w:val="0"/>
      <w:divBdr>
        <w:top w:val="none" w:sz="0" w:space="0" w:color="auto"/>
        <w:left w:val="none" w:sz="0" w:space="0" w:color="auto"/>
        <w:bottom w:val="none" w:sz="0" w:space="0" w:color="auto"/>
        <w:right w:val="none" w:sz="0" w:space="0" w:color="auto"/>
      </w:divBdr>
    </w:div>
    <w:div w:id="860511521">
      <w:bodyDiv w:val="1"/>
      <w:marLeft w:val="0"/>
      <w:marRight w:val="0"/>
      <w:marTop w:val="0"/>
      <w:marBottom w:val="0"/>
      <w:divBdr>
        <w:top w:val="none" w:sz="0" w:space="0" w:color="auto"/>
        <w:left w:val="none" w:sz="0" w:space="0" w:color="auto"/>
        <w:bottom w:val="none" w:sz="0" w:space="0" w:color="auto"/>
        <w:right w:val="none" w:sz="0" w:space="0" w:color="auto"/>
      </w:divBdr>
    </w:div>
    <w:div w:id="914363436">
      <w:bodyDiv w:val="1"/>
      <w:marLeft w:val="0"/>
      <w:marRight w:val="0"/>
      <w:marTop w:val="0"/>
      <w:marBottom w:val="0"/>
      <w:divBdr>
        <w:top w:val="none" w:sz="0" w:space="0" w:color="auto"/>
        <w:left w:val="none" w:sz="0" w:space="0" w:color="auto"/>
        <w:bottom w:val="none" w:sz="0" w:space="0" w:color="auto"/>
        <w:right w:val="none" w:sz="0" w:space="0" w:color="auto"/>
      </w:divBdr>
    </w:div>
    <w:div w:id="1083184178">
      <w:bodyDiv w:val="1"/>
      <w:marLeft w:val="0"/>
      <w:marRight w:val="0"/>
      <w:marTop w:val="0"/>
      <w:marBottom w:val="0"/>
      <w:divBdr>
        <w:top w:val="none" w:sz="0" w:space="0" w:color="auto"/>
        <w:left w:val="none" w:sz="0" w:space="0" w:color="auto"/>
        <w:bottom w:val="none" w:sz="0" w:space="0" w:color="auto"/>
        <w:right w:val="none" w:sz="0" w:space="0" w:color="auto"/>
      </w:divBdr>
    </w:div>
    <w:div w:id="1085805334">
      <w:bodyDiv w:val="1"/>
      <w:marLeft w:val="0"/>
      <w:marRight w:val="0"/>
      <w:marTop w:val="0"/>
      <w:marBottom w:val="0"/>
      <w:divBdr>
        <w:top w:val="none" w:sz="0" w:space="0" w:color="auto"/>
        <w:left w:val="none" w:sz="0" w:space="0" w:color="auto"/>
        <w:bottom w:val="none" w:sz="0" w:space="0" w:color="auto"/>
        <w:right w:val="none" w:sz="0" w:space="0" w:color="auto"/>
      </w:divBdr>
    </w:div>
    <w:div w:id="208702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vivo.org.au/inside-avivo/our-board"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95ADB87B3543FFA6A7EDCB73A9A2D3"/>
        <w:category>
          <w:name w:val="General"/>
          <w:gallery w:val="placeholder"/>
        </w:category>
        <w:types>
          <w:type w:val="bbPlcHdr"/>
        </w:types>
        <w:behaviors>
          <w:behavior w:val="content"/>
        </w:behaviors>
        <w:guid w:val="{46AF43AD-6E02-4A51-B95F-CECB1DAABF6D}"/>
      </w:docPartPr>
      <w:docPartBody>
        <w:p w:rsidR="0067710B" w:rsidRDefault="00EA05C7" w:rsidP="00EA05C7">
          <w:pPr/>
          <w:r w:rsidRPr="00FC0BC3">
            <w:rPr>
              <w:highlight w:val="yellow"/>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41C"/>
    <w:rsid w:val="00045122"/>
    <w:rsid w:val="000527A9"/>
    <w:rsid w:val="000754D2"/>
    <w:rsid w:val="000A2BDC"/>
    <w:rsid w:val="00113A45"/>
    <w:rsid w:val="00126190"/>
    <w:rsid w:val="00143F82"/>
    <w:rsid w:val="00157BC7"/>
    <w:rsid w:val="001E4A3E"/>
    <w:rsid w:val="001F6F22"/>
    <w:rsid w:val="002A1FCC"/>
    <w:rsid w:val="002A2C5C"/>
    <w:rsid w:val="002A51E9"/>
    <w:rsid w:val="002D5BA0"/>
    <w:rsid w:val="00304510"/>
    <w:rsid w:val="003059E0"/>
    <w:rsid w:val="00323B73"/>
    <w:rsid w:val="00335A7B"/>
    <w:rsid w:val="00562C9E"/>
    <w:rsid w:val="005928A7"/>
    <w:rsid w:val="0067710B"/>
    <w:rsid w:val="00712F2F"/>
    <w:rsid w:val="00796D8A"/>
    <w:rsid w:val="007C3898"/>
    <w:rsid w:val="007D2B8A"/>
    <w:rsid w:val="007E5332"/>
    <w:rsid w:val="00925CA7"/>
    <w:rsid w:val="00931D34"/>
    <w:rsid w:val="009D38CA"/>
    <w:rsid w:val="009E1765"/>
    <w:rsid w:val="00A4615B"/>
    <w:rsid w:val="00A76140"/>
    <w:rsid w:val="00A97387"/>
    <w:rsid w:val="00AA7880"/>
    <w:rsid w:val="00B1652E"/>
    <w:rsid w:val="00B4351F"/>
    <w:rsid w:val="00B477C6"/>
    <w:rsid w:val="00BF141C"/>
    <w:rsid w:val="00C90846"/>
    <w:rsid w:val="00CE3F2F"/>
    <w:rsid w:val="00D962E3"/>
    <w:rsid w:val="00DA2C05"/>
    <w:rsid w:val="00DC2CEB"/>
    <w:rsid w:val="00E66643"/>
    <w:rsid w:val="00EA05C7"/>
    <w:rsid w:val="00EA116E"/>
    <w:rsid w:val="00F06E0A"/>
    <w:rsid w:val="00F85D2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116E"/>
    <w:rPr>
      <w:color w:val="808080"/>
    </w:rPr>
  </w:style>
  <w:style w:type="paragraph" w:styleId="Caption">
    <w:name w:val="caption"/>
    <w:basedOn w:val="Normal"/>
    <w:next w:val="FigureStyle"/>
    <w:uiPriority w:val="6"/>
    <w:qFormat/>
    <w:rsid w:val="00304510"/>
    <w:pPr>
      <w:keepNext/>
      <w:tabs>
        <w:tab w:val="left" w:pos="1134"/>
      </w:tabs>
      <w:spacing w:before="240" w:after="120" w:line="240" w:lineRule="auto"/>
      <w:ind w:left="1134" w:hanging="1134"/>
      <w:jc w:val="center"/>
    </w:pPr>
    <w:rPr>
      <w:rFonts w:eastAsiaTheme="minorHAnsi"/>
      <w:b/>
      <w:iCs/>
      <w:sz w:val="20"/>
      <w:szCs w:val="18"/>
      <w:lang w:eastAsia="en-US"/>
    </w:rPr>
  </w:style>
  <w:style w:type="paragraph" w:customStyle="1" w:styleId="FigureStyle">
    <w:name w:val="Figure Style"/>
    <w:basedOn w:val="Normal"/>
    <w:next w:val="BodyText"/>
    <w:uiPriority w:val="6"/>
    <w:qFormat/>
    <w:rsid w:val="00304510"/>
    <w:pPr>
      <w:spacing w:before="120" w:after="240" w:line="240" w:lineRule="auto"/>
      <w:jc w:val="center"/>
    </w:pPr>
    <w:rPr>
      <w:rFonts w:eastAsiaTheme="minorHAnsi"/>
      <w:lang w:eastAsia="en-US"/>
    </w:rPr>
  </w:style>
  <w:style w:type="paragraph" w:styleId="BodyText">
    <w:name w:val="Body Text"/>
    <w:basedOn w:val="Normal"/>
    <w:link w:val="BodyTextChar"/>
    <w:uiPriority w:val="99"/>
    <w:semiHidden/>
    <w:unhideWhenUsed/>
    <w:rsid w:val="00BF141C"/>
    <w:pPr>
      <w:spacing w:after="120"/>
    </w:pPr>
  </w:style>
  <w:style w:type="character" w:customStyle="1" w:styleId="BodyTextChar">
    <w:name w:val="Body Text Char"/>
    <w:basedOn w:val="DefaultParagraphFont"/>
    <w:link w:val="BodyText"/>
    <w:uiPriority w:val="99"/>
    <w:semiHidden/>
    <w:rsid w:val="00BF141C"/>
  </w:style>
  <w:style w:type="table" w:customStyle="1" w:styleId="Table1">
    <w:name w:val="Table 1"/>
    <w:basedOn w:val="TableNormal"/>
    <w:uiPriority w:val="99"/>
    <w:rsid w:val="00A97387"/>
    <w:pPr>
      <w:spacing w:after="0" w:line="240" w:lineRule="auto"/>
    </w:pPr>
    <w:rPr>
      <w:rFonts w:eastAsiaTheme="minorHAnsi"/>
      <w:lang w:eastAsia="en-US"/>
    </w:rPr>
    <w:tblPr>
      <w:tblStyleRowBandSize w:val="1"/>
      <w:tblStyleColBandSize w:val="1"/>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CellMar>
        <w:left w:w="0" w:type="dxa"/>
        <w:right w:w="0" w:type="dxa"/>
      </w:tblCellMar>
    </w:tblPr>
    <w:tblStylePr w:type="firstRow">
      <w:tblPr/>
      <w:tcPr>
        <w:shd w:val="clear" w:color="auto" w:fill="4472C4" w:themeFill="accent1"/>
      </w:tcPr>
    </w:tblStylePr>
    <w:tblStylePr w:type="lastRow">
      <w:tblPr/>
      <w:tcPr>
        <w:shd w:val="clear" w:color="auto" w:fill="D9E2F3" w:themeFill="accent1" w:themeFillTint="33"/>
      </w:tcPr>
    </w:tblStylePr>
    <w:tblStylePr w:type="firstCol">
      <w:tblPr/>
      <w:tcPr>
        <w:shd w:val="clear" w:color="auto" w:fill="4472C4" w:themeFill="accent1"/>
      </w:tcPr>
    </w:tblStylePr>
    <w:tblStylePr w:type="lastCol">
      <w:tblPr/>
      <w:tcPr>
        <w:shd w:val="clear" w:color="auto" w:fill="D9E2F3" w:themeFill="accent1" w:themeFillTint="33"/>
      </w:tcPr>
    </w:tblStylePr>
    <w:tblStylePr w:type="band2Vert">
      <w:tblPr/>
      <w:tcPr>
        <w:shd w:val="clear" w:color="auto" w:fill="D9E2F3" w:themeFill="accent1" w:themeFillTint="33"/>
      </w:tcPr>
    </w:tblStylePr>
    <w:tblStylePr w:type="band2Horz">
      <w:tblPr/>
      <w:tcPr>
        <w:shd w:val="clear" w:color="auto" w:fill="D9E2F3" w:themeFill="accent1" w:themeFillTint="33"/>
      </w:tcPr>
    </w:tblStylePr>
  </w:style>
  <w:style w:type="table" w:customStyle="1" w:styleId="Table2">
    <w:name w:val="Table 2"/>
    <w:basedOn w:val="TableNormal"/>
    <w:uiPriority w:val="99"/>
    <w:rsid w:val="00A97387"/>
    <w:pPr>
      <w:spacing w:after="0" w:line="240" w:lineRule="auto"/>
    </w:pPr>
    <w:rPr>
      <w:rFonts w:eastAsiaTheme="minorHAnsi"/>
      <w:lang w:eastAsia="en-US"/>
    </w:rPr>
    <w:tblPr>
      <w:tblStyleRowBandSize w:val="1"/>
      <w:tblStyleColBandSize w:val="1"/>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CellMar>
        <w:left w:w="0" w:type="dxa"/>
        <w:right w:w="0" w:type="dxa"/>
      </w:tblCellMar>
    </w:tblPr>
    <w:tblStylePr w:type="firstRow">
      <w:tblPr/>
      <w:tcPr>
        <w:shd w:val="clear" w:color="auto" w:fill="ED7D31" w:themeFill="accent2"/>
      </w:tcPr>
    </w:tblStylePr>
    <w:tblStylePr w:type="lastRow">
      <w:tblPr/>
      <w:tcPr>
        <w:shd w:val="clear" w:color="auto" w:fill="FBE4D5" w:themeFill="accent2" w:themeFillTint="33"/>
      </w:tcPr>
    </w:tblStylePr>
    <w:tblStylePr w:type="firstCol">
      <w:tblPr/>
      <w:tcPr>
        <w:shd w:val="clear" w:color="auto" w:fill="ED7D31" w:themeFill="accent2"/>
      </w:tcPr>
    </w:tblStylePr>
    <w:tblStylePr w:type="lastCol">
      <w:tblPr/>
      <w:tcPr>
        <w:shd w:val="clear" w:color="auto" w:fill="FBE4D5" w:themeFill="accent2" w:themeFillTint="33"/>
      </w:tcPr>
    </w:tblStylePr>
    <w:tblStylePr w:type="band2Vert">
      <w:tblPr/>
      <w:tcPr>
        <w:shd w:val="clear" w:color="auto" w:fill="FBE4D5" w:themeFill="accent2" w:themeFillTint="33"/>
      </w:tcPr>
    </w:tblStylePr>
    <w:tblStylePr w:type="band2Horz">
      <w:tblPr/>
      <w:tcPr>
        <w:shd w:val="clear" w:color="auto" w:fill="FBE4D5" w:themeFill="accent2" w:themeFillTint="33"/>
      </w:tcPr>
    </w:tblStylePr>
  </w:style>
  <w:style w:type="table" w:styleId="TableGrid">
    <w:name w:val="Table Grid"/>
    <w:aliases w:val="Table No Border"/>
    <w:basedOn w:val="TableNormal"/>
    <w:uiPriority w:val="39"/>
    <w:rsid w:val="00304510"/>
    <w:pPr>
      <w:spacing w:after="0" w:line="240" w:lineRule="auto"/>
    </w:pPr>
    <w:rPr>
      <w:rFonts w:eastAsiaTheme="minorHAnsi"/>
      <w:lang w:eastAsia="en-US"/>
    </w:rPr>
    <w:tblPr>
      <w:tblCellMar>
        <w:left w:w="0" w:type="dxa"/>
        <w:right w:w="0" w:type="dxa"/>
      </w:tblCellMar>
    </w:tblPr>
  </w:style>
  <w:style w:type="table" w:customStyle="1" w:styleId="GreyLinedTable">
    <w:name w:val="Grey Lined Table"/>
    <w:basedOn w:val="TableNormal"/>
    <w:uiPriority w:val="99"/>
    <w:rsid w:val="00B4351F"/>
    <w:pPr>
      <w:spacing w:after="0" w:line="240" w:lineRule="auto"/>
    </w:pPr>
    <w:rPr>
      <w:rFonts w:eastAsiaTheme="minorHAnsi"/>
      <w:lang w:eastAsia="en-US"/>
    </w:rPr>
    <w:tblPr>
      <w:tblStyleRowBandSize w:val="1"/>
      <w:tblStyleColBandSize w:val="1"/>
      <w:tblBorders>
        <w:top w:val="single" w:sz="4" w:space="0" w:color="385623" w:themeColor="accent6" w:themeShade="80"/>
        <w:bottom w:val="single" w:sz="4" w:space="0" w:color="385623" w:themeColor="accent6" w:themeShade="80"/>
        <w:insideH w:val="single" w:sz="4" w:space="0" w:color="385623" w:themeColor="accent6" w:themeShade="80"/>
      </w:tblBorders>
      <w:tblCellMar>
        <w:left w:w="0" w:type="dxa"/>
        <w:right w:w="0" w:type="dxa"/>
      </w:tblCellMar>
    </w:tblPr>
    <w:tblStylePr w:type="firstRow">
      <w:rPr>
        <w:color w:val="4472C4" w:themeColor="accent1"/>
      </w:rPr>
      <w:tblPr/>
      <w:tcPr>
        <w:shd w:val="clear" w:color="auto" w:fill="70AD47" w:themeFill="accent6"/>
      </w:tcPr>
    </w:tblStylePr>
    <w:tblStylePr w:type="lastRow">
      <w:rPr>
        <w:b/>
      </w:rPr>
      <w:tblPr/>
      <w:tcPr>
        <w:shd w:val="clear" w:color="auto" w:fill="F2F2F2" w:themeFill="background1" w:themeFillShade="F2"/>
      </w:tcPr>
    </w:tblStylePr>
    <w:tblStylePr w:type="firstCol">
      <w:rPr>
        <w:color w:val="4472C4" w:themeColor="accent1"/>
      </w:rPr>
      <w:tblPr/>
      <w:tcPr>
        <w:shd w:val="clear" w:color="auto" w:fill="70AD47" w:themeFill="accent6"/>
      </w:tcPr>
    </w:tblStylePr>
    <w:tblStylePr w:type="lastCol">
      <w:tblPr/>
      <w:tcPr>
        <w:shd w:val="clear" w:color="auto" w:fill="F2F2F2" w:themeFill="background1" w:themeFillShade="F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GreyGridTable">
    <w:name w:val="Grey Grid Table"/>
    <w:basedOn w:val="TableNormal"/>
    <w:uiPriority w:val="99"/>
    <w:rsid w:val="00B4351F"/>
    <w:pPr>
      <w:spacing w:after="0" w:line="240" w:lineRule="auto"/>
    </w:pPr>
    <w:rPr>
      <w:rFonts w:eastAsiaTheme="minorHAnsi"/>
      <w:lang w:eastAsia="en-US"/>
    </w:rPr>
    <w:tblPr>
      <w:tblStyleRowBandSize w:val="1"/>
      <w:tblStyleColBandSize w:val="1"/>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CellMar>
        <w:left w:w="0" w:type="dxa"/>
        <w:right w:w="0" w:type="dxa"/>
      </w:tblCellMar>
    </w:tblPr>
    <w:tblStylePr w:type="firstRow">
      <w:rPr>
        <w:color w:val="4472C4" w:themeColor="accent1"/>
      </w:rPr>
      <w:tblPr/>
      <w:tcPr>
        <w:shd w:val="clear" w:color="auto" w:fill="70AD47" w:themeFill="accent6"/>
      </w:tcPr>
    </w:tblStylePr>
    <w:tblStylePr w:type="lastRow">
      <w:rPr>
        <w:b/>
      </w:rPr>
      <w:tblPr/>
      <w:tcPr>
        <w:shd w:val="clear" w:color="auto" w:fill="F2F2F2" w:themeFill="background1" w:themeFillShade="F2"/>
      </w:tcPr>
    </w:tblStylePr>
    <w:tblStylePr w:type="firstCol">
      <w:rPr>
        <w:color w:val="4472C4" w:themeColor="accent1"/>
      </w:rPr>
      <w:tblPr/>
      <w:tcPr>
        <w:shd w:val="clear" w:color="auto" w:fill="70AD47" w:themeFill="accent6"/>
      </w:tcPr>
    </w:tblStylePr>
    <w:tblStylePr w:type="lastCol">
      <w:tblPr/>
      <w:tcPr>
        <w:shd w:val="clear" w:color="auto" w:fill="F2F2F2" w:themeFill="background1" w:themeFillShade="F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AquaLinedTable">
    <w:name w:val="Aqua Lined Table"/>
    <w:basedOn w:val="TableNormal"/>
    <w:uiPriority w:val="99"/>
    <w:rsid w:val="00B4351F"/>
    <w:pPr>
      <w:spacing w:after="0" w:line="240" w:lineRule="auto"/>
    </w:pPr>
    <w:rPr>
      <w:rFonts w:eastAsiaTheme="minorHAnsi"/>
      <w:lang w:eastAsia="en-US"/>
    </w:rPr>
    <w:tblPr>
      <w:tblStyleRowBandSize w:val="1"/>
      <w:tblStyleColBandSize w:val="1"/>
      <w:tblBorders>
        <w:top w:val="single" w:sz="4" w:space="0" w:color="385623" w:themeColor="accent6" w:themeShade="80"/>
        <w:bottom w:val="single" w:sz="4" w:space="0" w:color="385623" w:themeColor="accent6" w:themeShade="80"/>
        <w:insideH w:val="single" w:sz="4" w:space="0" w:color="385623" w:themeColor="accent6" w:themeShade="80"/>
      </w:tblBorders>
      <w:tblCellMar>
        <w:left w:w="0" w:type="dxa"/>
        <w:right w:w="0" w:type="dxa"/>
      </w:tblCellMar>
    </w:tblPr>
    <w:tblStylePr w:type="firstRow">
      <w:rPr>
        <w:color w:val="FFFFFF" w:themeColor="background1"/>
      </w:rPr>
      <w:tblPr/>
      <w:tcPr>
        <w:shd w:val="clear" w:color="auto" w:fill="ED7D31" w:themeFill="accent2"/>
      </w:tcPr>
    </w:tblStylePr>
    <w:tblStylePr w:type="lastRow">
      <w:rPr>
        <w:b/>
      </w:rPr>
      <w:tblPr/>
      <w:tcPr>
        <w:shd w:val="clear" w:color="auto" w:fill="F2F2F2" w:themeFill="background1" w:themeFillShade="F2"/>
      </w:tcPr>
    </w:tblStylePr>
    <w:tblStylePr w:type="firstCol">
      <w:rPr>
        <w:color w:val="FFFFFF" w:themeColor="background1"/>
      </w:rPr>
      <w:tblPr/>
      <w:tcPr>
        <w:shd w:val="clear" w:color="auto" w:fill="ED7D31" w:themeFill="accent2"/>
      </w:tcPr>
    </w:tblStylePr>
    <w:tblStylePr w:type="lastCol">
      <w:tblPr/>
      <w:tcPr>
        <w:shd w:val="clear" w:color="auto" w:fill="F2F2F2" w:themeFill="background1" w:themeFillShade="F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AquaGridTable">
    <w:name w:val="Aqua Grid Table"/>
    <w:basedOn w:val="TableNormal"/>
    <w:uiPriority w:val="99"/>
    <w:rsid w:val="00B4351F"/>
    <w:pPr>
      <w:spacing w:after="0" w:line="240" w:lineRule="auto"/>
    </w:pPr>
    <w:rPr>
      <w:rFonts w:eastAsiaTheme="minorHAnsi"/>
      <w:lang w:eastAsia="en-US"/>
    </w:rPr>
    <w:tblPr>
      <w:tblStyleRowBandSize w:val="1"/>
      <w:tblStyleColBandSize w:val="1"/>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CellMar>
        <w:left w:w="0" w:type="dxa"/>
        <w:right w:w="0" w:type="dxa"/>
      </w:tblCellMar>
    </w:tblPr>
    <w:tblStylePr w:type="firstRow">
      <w:rPr>
        <w:color w:val="FFFFFF" w:themeColor="background1"/>
      </w:rPr>
      <w:tblPr/>
      <w:tcPr>
        <w:shd w:val="clear" w:color="auto" w:fill="ED7D31" w:themeFill="accent2"/>
      </w:tcPr>
    </w:tblStylePr>
    <w:tblStylePr w:type="lastRow">
      <w:rPr>
        <w:b/>
      </w:rPr>
      <w:tblPr/>
      <w:tcPr>
        <w:shd w:val="clear" w:color="auto" w:fill="F2F2F2" w:themeFill="background1" w:themeFillShade="F2"/>
      </w:tcPr>
    </w:tblStylePr>
    <w:tblStylePr w:type="firstCol">
      <w:rPr>
        <w:color w:val="FFFFFF" w:themeColor="background1"/>
      </w:rPr>
      <w:tblPr/>
      <w:tcPr>
        <w:shd w:val="clear" w:color="auto" w:fill="ED7D31" w:themeFill="accent2"/>
      </w:tcPr>
    </w:tblStylePr>
    <w:tblStylePr w:type="lastCol">
      <w:tblPr/>
      <w:tcPr>
        <w:shd w:val="clear" w:color="auto" w:fill="F2F2F2" w:themeFill="background1" w:themeFillShade="F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8C95ADB87B3543FFA6A7EDCB73A9A2D3">
    <w:name w:val="8C95ADB87B3543FFA6A7EDCB73A9A2D3"/>
    <w:rsid w:val="00EA05C7"/>
  </w:style>
  <w:style w:type="table" w:customStyle="1" w:styleId="TableNoBorder1">
    <w:name w:val="Table No Border1"/>
    <w:basedOn w:val="TableNormal"/>
    <w:next w:val="TableGrid"/>
    <w:uiPriority w:val="39"/>
    <w:rsid w:val="00E66643"/>
    <w:pPr>
      <w:spacing w:after="0" w:line="240" w:lineRule="auto"/>
    </w:pPr>
    <w:rPr>
      <w:rFonts w:ascii="Arial" w:eastAsia="Arial" w:hAnsi="Arial" w:cs="Times New Roman"/>
      <w:lang w:eastAsia="en-US"/>
    </w:rPr>
    <w:tblPr>
      <w:tblInd w:w="0" w:type="nil"/>
      <w:tblCellMar>
        <w:left w:w="0" w:type="dxa"/>
        <w:right w:w="0" w:type="dxa"/>
      </w:tblCellMar>
    </w:tbl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vivo">
      <a:dk1>
        <a:sysClr val="windowText" lastClr="000000"/>
      </a:dk1>
      <a:lt1>
        <a:sysClr val="window" lastClr="FFFFFF"/>
      </a:lt1>
      <a:dk2>
        <a:srgbClr val="231F20"/>
      </a:dk2>
      <a:lt2>
        <a:srgbClr val="BCBEC0"/>
      </a:lt2>
      <a:accent1>
        <a:srgbClr val="E3E419"/>
      </a:accent1>
      <a:accent2>
        <a:srgbClr val="D7DF23"/>
      </a:accent2>
      <a:accent3>
        <a:srgbClr val="F4F6D5"/>
      </a:accent3>
      <a:accent4>
        <a:srgbClr val="EFF2BA"/>
      </a:accent4>
      <a:accent5>
        <a:srgbClr val="959BA1"/>
      </a:accent5>
      <a:accent6>
        <a:srgbClr val="303437"/>
      </a:accent6>
      <a:hlink>
        <a:srgbClr val="00B0CA"/>
      </a:hlink>
      <a:folHlink>
        <a:srgbClr val="00B0CA"/>
      </a:folHlink>
    </a:clrScheme>
    <a:fontScheme name="Arial Black">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79A47A-8BA6-46AA-BD72-A03A14E44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24</Pages>
  <Words>5550</Words>
  <Characters>31637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Annual Report 2021</vt:lpstr>
    </vt:vector>
  </TitlesOfParts>
  <Company/>
  <LinksUpToDate>false</LinksUpToDate>
  <CharactersWithSpaces>37113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2021</dc:title>
  <dc:subject/>
  <dc:creator>Paige</dc:creator>
  <cp:keywords/>
  <dc:description/>
  <cp:lastModifiedBy>Paiige Taylor</cp:lastModifiedBy>
  <cp:revision>8</cp:revision>
  <dcterms:created xsi:type="dcterms:W3CDTF">2021-11-07T23:56:00Z</dcterms:created>
  <dcterms:modified xsi:type="dcterms:W3CDTF">2021-11-08T03:21:00Z</dcterms:modified>
</cp:coreProperties>
</file>

<file path=userCustomization/customUI.xml><?xml version="1.0" encoding="utf-8"?>
<mso:customUI xmlns:mso="http://schemas.microsoft.com/office/2006/01/customui">
  <mso:ribbon>
    <mso:qat>
      <mso:documentControls>
        <mso:control idQ="mso:StyleGalleryClassic" visible="true"/>
        <mso:control idQ="mso:QuickPartsInsertGallery" visible="true"/>
      </mso:documentControls>
    </mso:qat>
  </mso:ribbon>
</mso:customUI>
</file>